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A02C7" w14:textId="0ABC2379" w:rsidR="00E90E49" w:rsidRPr="00965597" w:rsidRDefault="00E90E49" w:rsidP="003F1B41">
      <w:pPr>
        <w:pStyle w:val="3GPPHeader"/>
        <w:spacing w:after="0"/>
        <w:jc w:val="both"/>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F937F4">
        <w:t>102-e</w:t>
      </w:r>
      <w:r w:rsidRPr="00965597">
        <w:tab/>
      </w:r>
      <w:r w:rsidR="00091557" w:rsidRPr="00965597">
        <w:rPr>
          <w:sz w:val="32"/>
          <w:szCs w:val="32"/>
        </w:rPr>
        <w:t>R</w:t>
      </w:r>
      <w:r w:rsidR="008F1C4E" w:rsidRPr="00965597">
        <w:rPr>
          <w:sz w:val="32"/>
          <w:szCs w:val="32"/>
        </w:rPr>
        <w:t>1</w:t>
      </w:r>
      <w:r w:rsidR="00091557" w:rsidRPr="00965597">
        <w:rPr>
          <w:sz w:val="32"/>
          <w:szCs w:val="32"/>
        </w:rPr>
        <w:t>-</w:t>
      </w:r>
      <w:r w:rsidR="00F937F4">
        <w:rPr>
          <w:sz w:val="32"/>
          <w:szCs w:val="32"/>
        </w:rPr>
        <w:t>20</w:t>
      </w:r>
      <w:r w:rsidR="00AF6F62">
        <w:rPr>
          <w:sz w:val="32"/>
          <w:szCs w:val="32"/>
        </w:rPr>
        <w:t>06905</w:t>
      </w:r>
    </w:p>
    <w:p w14:paraId="0C7977BE" w14:textId="6BAF7B41" w:rsidR="00E90E49" w:rsidRPr="00965597" w:rsidRDefault="00F937F4" w:rsidP="003F1B41">
      <w:pPr>
        <w:pStyle w:val="3GPPHeader"/>
        <w:jc w:val="both"/>
      </w:pPr>
      <w:r w:rsidRPr="00DB5941">
        <w:t>e</w:t>
      </w:r>
      <w:r w:rsidR="00DB5941">
        <w:t>-</w:t>
      </w:r>
      <w:r w:rsidRPr="00DB5941">
        <w:t>Meeting</w:t>
      </w:r>
      <w:r w:rsidR="0027144F" w:rsidRPr="00DB5941">
        <w:t xml:space="preserve">, </w:t>
      </w:r>
      <w:r w:rsidRPr="00DB5941">
        <w:t>August 17</w:t>
      </w:r>
      <w:r w:rsidRPr="00DB5941">
        <w:rPr>
          <w:vertAlign w:val="superscript"/>
        </w:rPr>
        <w:t>th</w:t>
      </w:r>
      <w:r w:rsidRPr="00DB5941">
        <w:t xml:space="preserve"> – 28</w:t>
      </w:r>
      <w:r w:rsidRPr="00DB5941">
        <w:rPr>
          <w:vertAlign w:val="superscript"/>
        </w:rPr>
        <w:t>th</w:t>
      </w:r>
      <w:r w:rsidRPr="00DB5941">
        <w:t>,</w:t>
      </w:r>
      <w:r w:rsidR="00C37CB2" w:rsidRPr="00DB5941">
        <w:t xml:space="preserve"> </w:t>
      </w:r>
      <w:r w:rsidR="0027144F" w:rsidRPr="00DB5941">
        <w:t>20</w:t>
      </w:r>
      <w:r w:rsidRPr="00DB5941">
        <w:t>20</w:t>
      </w:r>
    </w:p>
    <w:p w14:paraId="2AF379A2" w14:textId="77777777" w:rsidR="00E90E49" w:rsidRPr="00965597" w:rsidRDefault="00E90E49" w:rsidP="003F1B41">
      <w:pPr>
        <w:pStyle w:val="3GPPHeader"/>
        <w:jc w:val="both"/>
      </w:pPr>
    </w:p>
    <w:p w14:paraId="598E0BE0" w14:textId="2BE704C2" w:rsidR="00E90E49" w:rsidRPr="00F937F4" w:rsidRDefault="00E90E49" w:rsidP="003F1B41">
      <w:pPr>
        <w:pStyle w:val="3GPPHeader"/>
        <w:jc w:val="both"/>
      </w:pPr>
      <w:r w:rsidRPr="00F937F4">
        <w:t>Agenda Item:</w:t>
      </w:r>
      <w:r w:rsidRPr="00F937F4">
        <w:tab/>
      </w:r>
      <w:r w:rsidR="00F937F4" w:rsidRPr="00F937F4">
        <w:t>8.10.3</w:t>
      </w:r>
    </w:p>
    <w:p w14:paraId="396A69EA" w14:textId="77777777" w:rsidR="00E90E49" w:rsidRPr="00965597" w:rsidRDefault="003D3C45" w:rsidP="003F1B41">
      <w:pPr>
        <w:pStyle w:val="3GPPHeader"/>
        <w:jc w:val="both"/>
      </w:pPr>
      <w:r w:rsidRPr="00965597">
        <w:t>Source:</w:t>
      </w:r>
      <w:r w:rsidR="00E90E49" w:rsidRPr="00965597">
        <w:tab/>
      </w:r>
      <w:r w:rsidR="00F64C2B" w:rsidRPr="00965597">
        <w:t>Ericsson</w:t>
      </w:r>
    </w:p>
    <w:p w14:paraId="426E122B" w14:textId="1A3ED4F3" w:rsidR="00E90E49" w:rsidRPr="00965597" w:rsidRDefault="003D3C45" w:rsidP="003F1B41">
      <w:pPr>
        <w:pStyle w:val="3GPPHeader"/>
        <w:jc w:val="both"/>
      </w:pPr>
      <w:r w:rsidRPr="00965597">
        <w:t>Title:</w:t>
      </w:r>
      <w:r w:rsidR="00E90E49" w:rsidRPr="00965597">
        <w:tab/>
      </w:r>
      <w:bookmarkStart w:id="0" w:name="_Hlk47691022"/>
      <w:r w:rsidR="00F937F4">
        <w:t xml:space="preserve">Enhancements to IAB for NR – </w:t>
      </w:r>
      <w:r w:rsidR="000A5643">
        <w:t>o</w:t>
      </w:r>
      <w:r w:rsidR="00F937F4">
        <w:t>verview of Rel-17 WI</w:t>
      </w:r>
      <w:bookmarkEnd w:id="0"/>
    </w:p>
    <w:p w14:paraId="13BBE57F" w14:textId="77777777" w:rsidR="00E90E49" w:rsidRPr="00965597" w:rsidRDefault="00E90E49" w:rsidP="003F1B41">
      <w:pPr>
        <w:pStyle w:val="3GPPHeader"/>
        <w:jc w:val="both"/>
      </w:pPr>
      <w:r w:rsidRPr="00965597">
        <w:t>Document for:</w:t>
      </w:r>
      <w:r w:rsidRPr="00965597">
        <w:tab/>
      </w:r>
      <w:r w:rsidRPr="00F937F4">
        <w:t>Discussion, Decision</w:t>
      </w:r>
    </w:p>
    <w:p w14:paraId="2A6005DD" w14:textId="77777777" w:rsidR="00E90E49" w:rsidRPr="00965597" w:rsidRDefault="00E90E49" w:rsidP="003F1B41">
      <w:pPr>
        <w:jc w:val="both"/>
      </w:pPr>
    </w:p>
    <w:p w14:paraId="40CDC920" w14:textId="77777777" w:rsidR="00E90E49" w:rsidRDefault="00E90E49" w:rsidP="003F1B41">
      <w:pPr>
        <w:pStyle w:val="Heading1"/>
        <w:jc w:val="both"/>
      </w:pPr>
      <w:bookmarkStart w:id="1" w:name="_Ref47522348"/>
      <w:r w:rsidRPr="00965597">
        <w:t>Introduction</w:t>
      </w:r>
      <w:bookmarkEnd w:id="1"/>
    </w:p>
    <w:p w14:paraId="59C1EF21" w14:textId="2A14602D" w:rsidR="00F937F4" w:rsidRPr="00104E78" w:rsidRDefault="00F937F4" w:rsidP="003F1B41">
      <w:pPr>
        <w:pStyle w:val="BodyText"/>
        <w:jc w:val="both"/>
        <w:rPr>
          <w:rFonts w:cs="Arial"/>
          <w:lang w:eastAsia="ja-JP"/>
        </w:rPr>
      </w:pPr>
      <w:r w:rsidRPr="00BF598F">
        <w:rPr>
          <w:rFonts w:cs="Arial"/>
          <w:lang w:eastAsia="ja-JP"/>
        </w:rPr>
        <w:t xml:space="preserve">The </w:t>
      </w:r>
      <w:r w:rsidRPr="000E76BC">
        <w:rPr>
          <w:rFonts w:cs="Arial"/>
          <w:lang w:eastAsia="ja-JP"/>
        </w:rPr>
        <w:t xml:space="preserve">WI “Enhancements to Integrated Access and Backhaul for NR” </w:t>
      </w:r>
      <w:r w:rsidR="00D13368">
        <w:rPr>
          <w:rFonts w:cs="Arial"/>
          <w:lang w:eastAsia="ja-JP"/>
        </w:rPr>
        <w:fldChar w:fldCharType="begin"/>
      </w:r>
      <w:r w:rsidR="00D13368" w:rsidRPr="000E76BC">
        <w:rPr>
          <w:rFonts w:cs="Arial"/>
          <w:lang w:eastAsia="ja-JP"/>
        </w:rPr>
        <w:instrText xml:space="preserve"> REF _Ref47522354 \r \h </w:instrText>
      </w:r>
      <w:r w:rsidR="003F1B41" w:rsidRPr="000E76BC">
        <w:rPr>
          <w:rFonts w:cs="Arial"/>
          <w:lang w:eastAsia="ja-JP"/>
        </w:rPr>
        <w:instrText xml:space="preserve"> \* MERGEFORMAT </w:instrText>
      </w:r>
      <w:r w:rsidR="00D13368">
        <w:rPr>
          <w:rFonts w:cs="Arial"/>
          <w:lang w:eastAsia="ja-JP"/>
        </w:rPr>
      </w:r>
      <w:r w:rsidR="00D13368">
        <w:rPr>
          <w:rFonts w:cs="Arial"/>
          <w:lang w:eastAsia="ja-JP"/>
        </w:rPr>
        <w:fldChar w:fldCharType="separate"/>
      </w:r>
      <w:r w:rsidR="00FE1E18">
        <w:rPr>
          <w:rFonts w:cs="Arial"/>
          <w:lang w:eastAsia="ja-JP"/>
        </w:rPr>
        <w:t>[1]</w:t>
      </w:r>
      <w:r w:rsidR="00D13368">
        <w:rPr>
          <w:rFonts w:cs="Arial"/>
          <w:lang w:eastAsia="ja-JP"/>
        </w:rPr>
        <w:fldChar w:fldCharType="end"/>
      </w:r>
      <w:r w:rsidRPr="00BF598F">
        <w:rPr>
          <w:rFonts w:cs="Arial"/>
          <w:lang w:eastAsia="ja-JP"/>
        </w:rPr>
        <w:t xml:space="preserve"> </w:t>
      </w:r>
      <w:r w:rsidRPr="000E76BC">
        <w:rPr>
          <w:rFonts w:cs="Arial"/>
          <w:lang w:eastAsia="ja-JP"/>
        </w:rPr>
        <w:t xml:space="preserve">is a continuation of the work initiated in Rel16 for the WI “Integrated Access and Backhaul” </w:t>
      </w:r>
      <w:r w:rsidR="00D13368">
        <w:rPr>
          <w:rFonts w:cs="Arial"/>
          <w:lang w:eastAsia="ja-JP"/>
        </w:rPr>
        <w:fldChar w:fldCharType="begin"/>
      </w:r>
      <w:r w:rsidR="00D13368" w:rsidRPr="000E76BC">
        <w:rPr>
          <w:rFonts w:cs="Arial"/>
          <w:lang w:eastAsia="ja-JP"/>
        </w:rPr>
        <w:instrText xml:space="preserve"> REF _Ref47522365 \r \h </w:instrText>
      </w:r>
      <w:r w:rsidR="003F1B41" w:rsidRPr="000E76BC">
        <w:rPr>
          <w:rFonts w:cs="Arial"/>
          <w:lang w:eastAsia="ja-JP"/>
        </w:rPr>
        <w:instrText xml:space="preserve"> \* MERGEFORMAT </w:instrText>
      </w:r>
      <w:r w:rsidR="00D13368">
        <w:rPr>
          <w:rFonts w:cs="Arial"/>
          <w:lang w:eastAsia="ja-JP"/>
        </w:rPr>
      </w:r>
      <w:r w:rsidR="00D13368">
        <w:rPr>
          <w:rFonts w:cs="Arial"/>
          <w:lang w:eastAsia="ja-JP"/>
        </w:rPr>
        <w:fldChar w:fldCharType="separate"/>
      </w:r>
      <w:r w:rsidR="00FE1E18">
        <w:rPr>
          <w:rFonts w:cs="Arial"/>
          <w:lang w:eastAsia="ja-JP"/>
        </w:rPr>
        <w:t>[2]</w:t>
      </w:r>
      <w:r w:rsidR="00D13368">
        <w:rPr>
          <w:rFonts w:cs="Arial"/>
          <w:lang w:eastAsia="ja-JP"/>
        </w:rPr>
        <w:fldChar w:fldCharType="end"/>
      </w:r>
      <w:r w:rsidRPr="00BF598F">
        <w:rPr>
          <w:rFonts w:cs="Arial"/>
          <w:lang w:eastAsia="ja-JP"/>
        </w:rPr>
        <w:t>.</w:t>
      </w:r>
      <w:r w:rsidRPr="000E76BC">
        <w:rPr>
          <w:rFonts w:cs="Arial"/>
          <w:lang w:eastAsia="ja-JP"/>
        </w:rPr>
        <w:t xml:space="preserve"> </w:t>
      </w:r>
      <w:r w:rsidRPr="00104E78">
        <w:rPr>
          <w:rFonts w:cs="Arial"/>
          <w:lang w:eastAsia="ja-JP"/>
        </w:rPr>
        <w:t xml:space="preserve">The new WI has the following objectives: </w:t>
      </w:r>
    </w:p>
    <w:tbl>
      <w:tblPr>
        <w:tblStyle w:val="TableGrid"/>
        <w:tblW w:w="0" w:type="auto"/>
        <w:tblLook w:val="04A0" w:firstRow="1" w:lastRow="0" w:firstColumn="1" w:lastColumn="0" w:noHBand="0" w:noVBand="1"/>
      </w:tblPr>
      <w:tblGrid>
        <w:gridCol w:w="9629"/>
      </w:tblGrid>
      <w:tr w:rsidR="00F937F4" w14:paraId="5CF564BA" w14:textId="77777777" w:rsidTr="00716BD6">
        <w:tc>
          <w:tcPr>
            <w:tcW w:w="9629" w:type="dxa"/>
          </w:tcPr>
          <w:p w14:paraId="7FFFAEC9" w14:textId="77777777" w:rsidR="00F937F4" w:rsidRPr="004166C5" w:rsidRDefault="00F937F4" w:rsidP="003F1B41">
            <w:pPr>
              <w:pStyle w:val="maintext"/>
              <w:spacing w:line="240" w:lineRule="auto"/>
              <w:ind w:firstLineChars="0" w:firstLine="0"/>
              <w:jc w:val="both"/>
              <w:rPr>
                <w:rFonts w:asciiTheme="minorHAnsi" w:eastAsia="Times New Roman" w:hAnsiTheme="minorHAnsi" w:cstheme="minorHAnsi"/>
                <w:b/>
                <w:bCs/>
                <w:u w:val="single"/>
                <w:lang w:eastAsia="zh-CN"/>
              </w:rPr>
            </w:pPr>
            <w:r w:rsidRPr="004166C5">
              <w:rPr>
                <w:rFonts w:asciiTheme="minorHAnsi" w:eastAsia="Times New Roman" w:hAnsiTheme="minorHAnsi" w:cstheme="minorHAnsi"/>
                <w:b/>
                <w:bCs/>
                <w:u w:val="single"/>
                <w:lang w:eastAsia="zh-CN"/>
              </w:rPr>
              <w:t>From RP-201293</w:t>
            </w:r>
          </w:p>
          <w:p w14:paraId="0EE14125" w14:textId="77777777" w:rsidR="00F937F4" w:rsidRPr="004166C5" w:rsidRDefault="00F937F4" w:rsidP="003F1B41">
            <w:pPr>
              <w:pStyle w:val="maintext"/>
              <w:spacing w:line="240" w:lineRule="auto"/>
              <w:ind w:firstLineChars="0" w:firstLine="0"/>
              <w:jc w:val="both"/>
              <w:rPr>
                <w:rFonts w:asciiTheme="minorHAnsi" w:eastAsia="Times New Roman" w:hAnsiTheme="minorHAnsi" w:cstheme="minorHAnsi"/>
                <w:lang w:eastAsia="en-US"/>
              </w:rPr>
            </w:pPr>
            <w:r w:rsidRPr="004166C5">
              <w:rPr>
                <w:rFonts w:asciiTheme="minorHAnsi" w:eastAsia="Times New Roman" w:hAnsiTheme="minorHAnsi" w:cstheme="minorHAnsi"/>
                <w:lang w:eastAsia="en-US"/>
              </w:rPr>
              <w:t>In Rel-17, IAB enhancements support the following new functionality, applicable to FR1 and FR2:</w:t>
            </w:r>
          </w:p>
          <w:p w14:paraId="728CE01C" w14:textId="77777777" w:rsidR="00F937F4" w:rsidRPr="004166C5" w:rsidRDefault="00F937F4" w:rsidP="003F1B41">
            <w:pPr>
              <w:numPr>
                <w:ilvl w:val="0"/>
                <w:numId w:val="24"/>
              </w:numPr>
              <w:spacing w:after="120"/>
              <w:jc w:val="both"/>
              <w:rPr>
                <w:rFonts w:cstheme="minorHAnsi"/>
                <w:iCs/>
              </w:rPr>
            </w:pPr>
            <w:r w:rsidRPr="004166C5">
              <w:rPr>
                <w:rFonts w:cstheme="minorHAnsi"/>
                <w:iCs/>
              </w:rPr>
              <w:t>The introduction of inter-donor IAB-node migration increases robustness, allows for more refined load-balancing and topology management.</w:t>
            </w:r>
          </w:p>
          <w:p w14:paraId="217E90CE" w14:textId="77777777" w:rsidR="00F937F4" w:rsidRPr="004166C5" w:rsidRDefault="00F937F4" w:rsidP="003F1B41">
            <w:pPr>
              <w:numPr>
                <w:ilvl w:val="0"/>
                <w:numId w:val="24"/>
              </w:numPr>
              <w:spacing w:after="120"/>
              <w:jc w:val="both"/>
              <w:rPr>
                <w:rFonts w:cstheme="minorHAnsi"/>
              </w:rPr>
            </w:pPr>
            <w:r w:rsidRPr="004166C5">
              <w:rPr>
                <w:rFonts w:cstheme="minorHAnsi"/>
              </w:rPr>
              <w:t>Reduction of service interruption time caused by IAB-node migration and BH RLF recovery improves network performance, allows network deployments to undergo more frequent topology changes, and provides stable backhaul performance.</w:t>
            </w:r>
          </w:p>
          <w:p w14:paraId="0F85E16A" w14:textId="77777777" w:rsidR="00F937F4" w:rsidRPr="004166C5" w:rsidRDefault="00F937F4" w:rsidP="003F1B41">
            <w:pPr>
              <w:numPr>
                <w:ilvl w:val="0"/>
                <w:numId w:val="24"/>
              </w:numPr>
              <w:spacing w:after="120"/>
              <w:jc w:val="both"/>
              <w:rPr>
                <w:rFonts w:cstheme="minorHAnsi"/>
              </w:rPr>
            </w:pPr>
            <w:r w:rsidRPr="004166C5">
              <w:rPr>
                <w:rFonts w:cstheme="minorHAnsi"/>
              </w:rPr>
              <w:t xml:space="preserve">Enhancements in scheduling, flow and congestion control improves end-to-end performance as well as spectral efficiency to the IAB network. </w:t>
            </w:r>
          </w:p>
          <w:p w14:paraId="1C6B5700" w14:textId="51AA47A0" w:rsidR="00F937F4" w:rsidRPr="004166C5" w:rsidRDefault="00F937F4" w:rsidP="003F1B41">
            <w:pPr>
              <w:numPr>
                <w:ilvl w:val="0"/>
                <w:numId w:val="24"/>
              </w:numPr>
              <w:spacing w:after="120"/>
              <w:jc w:val="both"/>
            </w:pPr>
            <w:r w:rsidRPr="004166C5">
              <w:rPr>
                <w:rFonts w:cstheme="minorHAnsi"/>
              </w:rPr>
              <w:t>Duplexing enhancements increase spectral efficiency and reduce latency through the support of SDM/FDM-based resource management, through simultaneous transmissions and/or reception on IAB-nodes.</w:t>
            </w:r>
          </w:p>
        </w:tc>
      </w:tr>
    </w:tbl>
    <w:p w14:paraId="4D262995" w14:textId="77777777" w:rsidR="00F937F4" w:rsidRPr="00846488" w:rsidRDefault="00F937F4" w:rsidP="003F1B41">
      <w:pPr>
        <w:pStyle w:val="BodyText"/>
        <w:jc w:val="both"/>
        <w:rPr>
          <w:rFonts w:cstheme="minorHAnsi"/>
        </w:rPr>
      </w:pPr>
    </w:p>
    <w:p w14:paraId="4C161630" w14:textId="77777777" w:rsidR="00F937F4" w:rsidRPr="004166C5" w:rsidRDefault="00F937F4" w:rsidP="003F1B41">
      <w:pPr>
        <w:jc w:val="both"/>
        <w:rPr>
          <w:rFonts w:cstheme="minorHAnsi"/>
        </w:rPr>
      </w:pPr>
      <w:r w:rsidRPr="004166C5">
        <w:rPr>
          <w:rFonts w:cstheme="minorHAnsi"/>
        </w:rPr>
        <w:t xml:space="preserve">Hence, the updated WI focuses on three main areas: </w:t>
      </w:r>
    </w:p>
    <w:p w14:paraId="065E2035" w14:textId="77777777" w:rsidR="00F937F4" w:rsidRPr="004166C5" w:rsidRDefault="00F937F4" w:rsidP="003F1B41">
      <w:pPr>
        <w:pStyle w:val="ListParagraph"/>
        <w:numPr>
          <w:ilvl w:val="0"/>
          <w:numId w:val="25"/>
        </w:numPr>
        <w:jc w:val="both"/>
        <w:rPr>
          <w:rFonts w:asciiTheme="minorHAnsi" w:eastAsia="Times New Roman" w:hAnsiTheme="minorHAnsi" w:cstheme="minorHAnsi"/>
          <w:lang w:val="en-GB" w:eastAsia="ja-JP"/>
        </w:rPr>
      </w:pPr>
      <w:r w:rsidRPr="004166C5">
        <w:rPr>
          <w:rFonts w:asciiTheme="minorHAnsi" w:eastAsia="Times New Roman" w:hAnsiTheme="minorHAnsi" w:cstheme="minorHAnsi"/>
          <w:lang w:val="en-GB" w:eastAsia="ja-JP"/>
        </w:rPr>
        <w:t xml:space="preserve">Topology adaptation, </w:t>
      </w:r>
    </w:p>
    <w:p w14:paraId="640652E4" w14:textId="77777777" w:rsidR="00F937F4" w:rsidRPr="004166C5" w:rsidRDefault="00F937F4" w:rsidP="003F1B41">
      <w:pPr>
        <w:pStyle w:val="ListParagraph"/>
        <w:numPr>
          <w:ilvl w:val="0"/>
          <w:numId w:val="25"/>
        </w:numPr>
        <w:jc w:val="both"/>
        <w:rPr>
          <w:rFonts w:asciiTheme="minorHAnsi" w:eastAsia="Times New Roman" w:hAnsiTheme="minorHAnsi" w:cstheme="minorHAnsi"/>
          <w:lang w:val="en-GB" w:eastAsia="ja-JP"/>
        </w:rPr>
      </w:pPr>
      <w:r w:rsidRPr="004166C5">
        <w:rPr>
          <w:rFonts w:asciiTheme="minorHAnsi" w:eastAsia="Times New Roman" w:hAnsiTheme="minorHAnsi" w:cstheme="minorHAnsi"/>
          <w:lang w:val="en-GB" w:eastAsia="ja-JP"/>
        </w:rPr>
        <w:t>End-to-end performance,</w:t>
      </w:r>
    </w:p>
    <w:p w14:paraId="57FFC008" w14:textId="40086AD4" w:rsidR="00F937F4" w:rsidRPr="004166C5" w:rsidRDefault="00F937F4" w:rsidP="003F1B41">
      <w:pPr>
        <w:pStyle w:val="ListParagraph"/>
        <w:numPr>
          <w:ilvl w:val="0"/>
          <w:numId w:val="25"/>
        </w:numPr>
        <w:spacing w:after="240"/>
        <w:jc w:val="both"/>
        <w:rPr>
          <w:rFonts w:asciiTheme="minorHAnsi" w:eastAsia="Times New Roman" w:hAnsiTheme="minorHAnsi" w:cstheme="minorHAnsi"/>
          <w:lang w:val="en-GB" w:eastAsia="ja-JP"/>
        </w:rPr>
      </w:pPr>
      <w:r w:rsidRPr="004166C5">
        <w:rPr>
          <w:rFonts w:asciiTheme="minorHAnsi" w:eastAsia="Times New Roman" w:hAnsiTheme="minorHAnsi" w:cstheme="minorHAnsi"/>
          <w:lang w:val="en-GB" w:eastAsia="ja-JP"/>
        </w:rPr>
        <w:t>Spectral efficiency and latency</w:t>
      </w:r>
    </w:p>
    <w:p w14:paraId="31A9A24C" w14:textId="5FE69AAF" w:rsidR="00477768" w:rsidRDefault="00F937F4" w:rsidP="003F1B41">
      <w:pPr>
        <w:jc w:val="both"/>
        <w:rPr>
          <w:rFonts w:cstheme="minorHAnsi"/>
        </w:rPr>
      </w:pPr>
      <w:r w:rsidRPr="004166C5">
        <w:rPr>
          <w:rFonts w:cstheme="minorHAnsi"/>
        </w:rPr>
        <w:t>This paper provides an overview of these areas and sheds some light on the challenges that RAN1, RAN2, and RAN3 will need to address.</w:t>
      </w:r>
    </w:p>
    <w:p w14:paraId="2CC905F0" w14:textId="37596241" w:rsidR="006052F4" w:rsidRPr="004166C5" w:rsidRDefault="006052F4" w:rsidP="003F1B41">
      <w:pPr>
        <w:jc w:val="both"/>
        <w:rPr>
          <w:rFonts w:cstheme="minorHAnsi"/>
        </w:rPr>
      </w:pPr>
      <w:r>
        <w:rPr>
          <w:lang w:val="en-GB"/>
        </w:rPr>
        <w:t>Please see our accompanying contributions on resource multiplexing</w:t>
      </w:r>
      <w:r w:rsidR="00D23D0E">
        <w:rPr>
          <w:lang w:val="en-GB"/>
        </w:rPr>
        <w:t xml:space="preserve"> </w:t>
      </w:r>
      <w:r w:rsidR="00D23D0E">
        <w:rPr>
          <w:lang w:val="en-GB"/>
        </w:rPr>
        <w:fldChar w:fldCharType="begin"/>
      </w:r>
      <w:r w:rsidR="00D23D0E">
        <w:rPr>
          <w:lang w:val="en-GB"/>
        </w:rPr>
        <w:instrText xml:space="preserve"> REF _Ref47694545 \n \h </w:instrText>
      </w:r>
      <w:r w:rsidR="00D23D0E">
        <w:rPr>
          <w:lang w:val="en-GB"/>
        </w:rPr>
      </w:r>
      <w:r w:rsidR="00D23D0E">
        <w:rPr>
          <w:lang w:val="en-GB"/>
        </w:rPr>
        <w:fldChar w:fldCharType="separate"/>
      </w:r>
      <w:r w:rsidR="00FE1E18">
        <w:rPr>
          <w:lang w:val="en-GB"/>
        </w:rPr>
        <w:t>[3]</w:t>
      </w:r>
      <w:r w:rsidR="00D23D0E">
        <w:rPr>
          <w:lang w:val="en-GB"/>
        </w:rPr>
        <w:fldChar w:fldCharType="end"/>
      </w:r>
      <w:r>
        <w:rPr>
          <w:lang w:val="en-GB"/>
        </w:rPr>
        <w:t xml:space="preserve"> and </w:t>
      </w:r>
      <w:r>
        <w:rPr>
          <w:rFonts w:cs="Arial"/>
        </w:rPr>
        <w:t>other enhancements for simultaneous child and parent link operation in IAB</w:t>
      </w:r>
      <w:r w:rsidR="00D23D0E">
        <w:rPr>
          <w:rFonts w:cs="Arial"/>
        </w:rPr>
        <w:t xml:space="preserve"> </w:t>
      </w:r>
      <w:r w:rsidR="00D23D0E">
        <w:rPr>
          <w:rFonts w:cs="Arial"/>
        </w:rPr>
        <w:fldChar w:fldCharType="begin"/>
      </w:r>
      <w:r w:rsidR="00D23D0E">
        <w:rPr>
          <w:rFonts w:cs="Arial"/>
        </w:rPr>
        <w:instrText xml:space="preserve"> REF _Ref47694551 \n \h </w:instrText>
      </w:r>
      <w:r w:rsidR="00D23D0E">
        <w:rPr>
          <w:rFonts w:cs="Arial"/>
        </w:rPr>
      </w:r>
      <w:r w:rsidR="00D23D0E">
        <w:rPr>
          <w:rFonts w:cs="Arial"/>
        </w:rPr>
        <w:fldChar w:fldCharType="separate"/>
      </w:r>
      <w:r w:rsidR="00FE1E18">
        <w:rPr>
          <w:rFonts w:cs="Arial"/>
        </w:rPr>
        <w:t>[4]</w:t>
      </w:r>
      <w:r w:rsidR="00D23D0E">
        <w:rPr>
          <w:rFonts w:cs="Arial"/>
        </w:rPr>
        <w:fldChar w:fldCharType="end"/>
      </w:r>
      <w:r w:rsidR="00D23D0E">
        <w:rPr>
          <w:rFonts w:cs="Arial"/>
        </w:rPr>
        <w:t>.</w:t>
      </w:r>
    </w:p>
    <w:p w14:paraId="53C416FF" w14:textId="1FC08BB4" w:rsidR="004000E8" w:rsidRDefault="004000E8" w:rsidP="003F1B41">
      <w:pPr>
        <w:pStyle w:val="Heading1"/>
        <w:jc w:val="both"/>
        <w:rPr>
          <w:lang w:val="en-US"/>
        </w:rPr>
      </w:pPr>
      <w:bookmarkStart w:id="2" w:name="_Ref178064866"/>
      <w:r w:rsidRPr="00965597">
        <w:rPr>
          <w:lang w:val="en-US"/>
        </w:rPr>
        <w:lastRenderedPageBreak/>
        <w:t>Discussion</w:t>
      </w:r>
      <w:bookmarkEnd w:id="2"/>
    </w:p>
    <w:p w14:paraId="38BC3037" w14:textId="62CB3C57" w:rsidR="00F937F4" w:rsidRPr="004166C5" w:rsidRDefault="00F937F4" w:rsidP="003F1B41">
      <w:pPr>
        <w:jc w:val="both"/>
        <w:rPr>
          <w:rFonts w:cstheme="minorHAnsi"/>
        </w:rPr>
      </w:pPr>
      <w:r w:rsidRPr="004166C5">
        <w:rPr>
          <w:rFonts w:cstheme="minorHAnsi"/>
        </w:rPr>
        <w:t>The essential topics for IAB Rel17 WI are discussed below.</w:t>
      </w:r>
    </w:p>
    <w:p w14:paraId="24B3293A" w14:textId="341E24EB" w:rsidR="00F63950" w:rsidRPr="00965597" w:rsidRDefault="00F937F4" w:rsidP="003F1B41">
      <w:pPr>
        <w:pStyle w:val="Heading2"/>
        <w:jc w:val="both"/>
        <w:rPr>
          <w:lang w:val="en-US"/>
        </w:rPr>
      </w:pPr>
      <w:r>
        <w:rPr>
          <w:lang w:val="en-US"/>
        </w:rPr>
        <w:t>Topology adaptation</w:t>
      </w:r>
    </w:p>
    <w:p w14:paraId="77B184EE" w14:textId="174423E1" w:rsidR="00F937F4" w:rsidRPr="004166C5" w:rsidRDefault="00F937F4" w:rsidP="003F1B41">
      <w:pPr>
        <w:jc w:val="both"/>
        <w:rPr>
          <w:rFonts w:cstheme="minorHAnsi"/>
        </w:rPr>
      </w:pPr>
      <w:r w:rsidRPr="004166C5">
        <w:rPr>
          <w:rFonts w:cstheme="minorHAnsi"/>
        </w:rPr>
        <w:t xml:space="preserve">The WID calls for solutions on inter-CU topology adaptation which was not considered in the </w:t>
      </w:r>
      <w:r w:rsidR="002B05FF">
        <w:rPr>
          <w:rFonts w:cstheme="minorHAnsi"/>
        </w:rPr>
        <w:t>Rel-</w:t>
      </w:r>
      <w:r w:rsidRPr="004166C5">
        <w:rPr>
          <w:rFonts w:cstheme="minorHAnsi"/>
        </w:rPr>
        <w:t>16 WI.</w:t>
      </w:r>
    </w:p>
    <w:p w14:paraId="7045A927" w14:textId="49ACFD53" w:rsidR="00F937F4" w:rsidRPr="004166C5" w:rsidRDefault="00F937F4" w:rsidP="003F1B41">
      <w:pPr>
        <w:jc w:val="both"/>
        <w:rPr>
          <w:rFonts w:cstheme="minorHAnsi"/>
        </w:rPr>
      </w:pPr>
      <w:r w:rsidRPr="004166C5">
        <w:rPr>
          <w:rFonts w:cstheme="minorHAnsi"/>
        </w:rPr>
        <w:t xml:space="preserve">We first highlight that topology adaptation and mobility are two distinctly different concepts, where IAB node mobility is excluded from Rel-17 WI. There are at least two main differences between mobility and topology adaptation. The first is that, in mobility, the reconfiguration procedure for handover is time-sensitive which means that if the procedure is not completed fast, the UE could lose the connection to the network. Conversely, for topology adaptation, reconfigurations are not </w:t>
      </w:r>
      <w:r w:rsidR="00D13368" w:rsidRPr="004166C5">
        <w:rPr>
          <w:rFonts w:cstheme="minorHAnsi"/>
        </w:rPr>
        <w:t>time critical</w:t>
      </w:r>
      <w:r w:rsidRPr="004166C5">
        <w:rPr>
          <w:rFonts w:cstheme="minorHAnsi"/>
        </w:rPr>
        <w:t>. Topology adaptation should be commonly seen/used as a mechanism for keeping the network stable by monitoring the network status and then adjusting the topology gradually in a non-time-critical manner. Short-term traffic peaks are not meant to trigger topology adaptations – these occurrences are rather temporary and can be addressed</w:t>
      </w:r>
      <w:r w:rsidR="004006A1">
        <w:rPr>
          <w:rFonts w:cstheme="minorHAnsi"/>
        </w:rPr>
        <w:t>, e.g.,</w:t>
      </w:r>
      <w:r w:rsidRPr="004166C5">
        <w:rPr>
          <w:rFonts w:cstheme="minorHAnsi"/>
        </w:rPr>
        <w:t xml:space="preserve"> by congestion mitigation mechanisms.</w:t>
      </w:r>
    </w:p>
    <w:p w14:paraId="3B771F66" w14:textId="42AF5737" w:rsidR="00F937F4" w:rsidRPr="004166C5" w:rsidRDefault="00F937F4" w:rsidP="003F1B41">
      <w:pPr>
        <w:jc w:val="both"/>
        <w:rPr>
          <w:rFonts w:cstheme="minorHAnsi"/>
        </w:rPr>
      </w:pPr>
      <w:r w:rsidRPr="00BF598F">
        <w:rPr>
          <w:rFonts w:cstheme="minorHAnsi"/>
        </w:rPr>
        <w:t>The second difference between topology adaptation and mobility is that, in mobility, if an inter-donor CU migration is needed, the connection to the first donor CU is ty</w:t>
      </w:r>
      <w:r w:rsidRPr="000E76BC">
        <w:rPr>
          <w:rFonts w:cstheme="minorHAnsi"/>
        </w:rPr>
        <w:t xml:space="preserve">pically released after the connection to the second node is established. For topology adaptation, since the goal is to move traffic, the result of a topology adaptation is that only </w:t>
      </w:r>
      <w:r w:rsidR="004006A1">
        <w:rPr>
          <w:rFonts w:cstheme="minorHAnsi"/>
        </w:rPr>
        <w:t xml:space="preserve">a </w:t>
      </w:r>
      <w:r w:rsidRPr="000E76BC">
        <w:rPr>
          <w:rFonts w:cstheme="minorHAnsi"/>
        </w:rPr>
        <w:t xml:space="preserve">fraction of the traffic served by a migrating IAB node needs to be moved, </w:t>
      </w:r>
      <w:r w:rsidR="004006A1">
        <w:rPr>
          <w:rFonts w:cstheme="minorHAnsi"/>
        </w:rPr>
        <w:t>e.g.,</w:t>
      </w:r>
      <w:r w:rsidRPr="000E76BC">
        <w:rPr>
          <w:rFonts w:cstheme="minorHAnsi"/>
        </w:rPr>
        <w:t xml:space="preserve"> at peak hours. </w:t>
      </w:r>
      <w:r w:rsidRPr="004166C5">
        <w:rPr>
          <w:rFonts w:cstheme="minorHAnsi"/>
        </w:rPr>
        <w:t xml:space="preserve">This implies that </w:t>
      </w:r>
      <w:r w:rsidR="00EC0FE9">
        <w:rPr>
          <w:rFonts w:cstheme="minorHAnsi"/>
        </w:rPr>
        <w:t xml:space="preserve">one </w:t>
      </w:r>
      <w:r w:rsidRPr="004166C5">
        <w:rPr>
          <w:rFonts w:cstheme="minorHAnsi"/>
        </w:rPr>
        <w:t>part of the traffic served by such migrating IAB node will still be carried over the first donor and another part of the traffic over the second donor. Since the network nodes do not move, the reconfigurations will always affect a very limited set of nodes.</w:t>
      </w:r>
    </w:p>
    <w:p w14:paraId="63FC6AFD" w14:textId="77777777" w:rsidR="00F937F4" w:rsidRPr="004166C5" w:rsidRDefault="00F937F4" w:rsidP="003F1B41">
      <w:pPr>
        <w:jc w:val="both"/>
        <w:rPr>
          <w:rFonts w:cstheme="minorHAnsi"/>
        </w:rPr>
      </w:pPr>
      <w:r w:rsidRPr="004166C5">
        <w:rPr>
          <w:rFonts w:cstheme="minorHAnsi"/>
        </w:rPr>
        <w:t>Hence, we believe that the inter-CU migration should be mainly dictated by load balancing purposes, in which the serving CU may decide to move some traffic due other less loaded cells served by a different CU.</w:t>
      </w:r>
    </w:p>
    <w:p w14:paraId="65A14B11" w14:textId="03AECF83" w:rsidR="00F937F4" w:rsidRPr="0073754A" w:rsidRDefault="00F937F4" w:rsidP="00FE1E18">
      <w:pPr>
        <w:pStyle w:val="Observation"/>
        <w:jc w:val="both"/>
      </w:pPr>
      <w:bookmarkStart w:id="3" w:name="_Toc47731853"/>
      <w:r w:rsidRPr="0073754A">
        <w:t xml:space="preserve">As opposed to mobility, inter-CU migration (i.e. topology adaptation) is not </w:t>
      </w:r>
      <w:r w:rsidR="00D13368" w:rsidRPr="0073754A">
        <w:t>time critical</w:t>
      </w:r>
      <w:r w:rsidRPr="0073754A">
        <w:t>.</w:t>
      </w:r>
      <w:bookmarkEnd w:id="3"/>
    </w:p>
    <w:p w14:paraId="77C9BF3D" w14:textId="77777777" w:rsidR="00F937F4" w:rsidRPr="0073754A" w:rsidRDefault="00F937F4" w:rsidP="00FE1E18">
      <w:pPr>
        <w:pStyle w:val="Observation"/>
        <w:jc w:val="both"/>
      </w:pPr>
      <w:bookmarkStart w:id="4" w:name="_Toc47731854"/>
      <w:r w:rsidRPr="0073754A">
        <w:t>For the top-level IAB node subject to load balancing, only a fraction of its traversing traffic will be moved via the new CU, meaning that this node will typically maintain the connection to the first CU.</w:t>
      </w:r>
      <w:bookmarkEnd w:id="4"/>
      <w:r w:rsidRPr="0073754A">
        <w:t xml:space="preserve"> </w:t>
      </w:r>
    </w:p>
    <w:p w14:paraId="11BA6EDD" w14:textId="7F033D2C" w:rsidR="00F937F4" w:rsidRPr="004166C5" w:rsidRDefault="00F937F4" w:rsidP="003F1B41">
      <w:pPr>
        <w:jc w:val="both"/>
        <w:rPr>
          <w:rFonts w:cstheme="minorHAnsi"/>
        </w:rPr>
      </w:pPr>
      <w:r w:rsidRPr="004166C5">
        <w:rPr>
          <w:rFonts w:cstheme="minorHAnsi"/>
        </w:rPr>
        <w:t>However, even if in most common cases only a portion of the overall traffic served by a migrating IAB node needs to be moved, it is important, from a network design point of view, that topology adaptation in IAB networks does not result in a considerable amount of signaling and reconfigurations as this may lead to traffic interruptions, buffering, delays, retransmissio</w:t>
      </w:r>
      <w:bookmarkStart w:id="5" w:name="_GoBack"/>
      <w:bookmarkEnd w:id="5"/>
      <w:r w:rsidRPr="004166C5">
        <w:rPr>
          <w:rFonts w:cstheme="minorHAnsi"/>
        </w:rPr>
        <w:t>ns, and, in extreme cases, packet losses. Thus, inter-CU migration (for load balancing) should incur minimum possible signaling or, at the very least, it should be possible to distribute the reconfiguration signaling load over a relatively long period of time.</w:t>
      </w:r>
    </w:p>
    <w:p w14:paraId="383BD6BF" w14:textId="77777777" w:rsidR="00F937F4" w:rsidRPr="0073754A" w:rsidRDefault="00F937F4" w:rsidP="00FE1E18">
      <w:pPr>
        <w:pStyle w:val="Observation"/>
        <w:jc w:val="both"/>
      </w:pPr>
      <w:bookmarkStart w:id="6" w:name="_Toc47731855"/>
      <w:r w:rsidRPr="0073754A">
        <w:t>From a network design point of view, inter-CU migration solutions should not lead to massive simultaneous reconfigurations.</w:t>
      </w:r>
      <w:bookmarkEnd w:id="6"/>
    </w:p>
    <w:p w14:paraId="6AAA3BA5" w14:textId="70D050DB" w:rsidR="00F937F4" w:rsidRPr="000E76BC" w:rsidRDefault="00F937F4" w:rsidP="003F1B41">
      <w:pPr>
        <w:jc w:val="both"/>
        <w:rPr>
          <w:rFonts w:cstheme="minorHAnsi"/>
        </w:rPr>
      </w:pPr>
      <w:r w:rsidRPr="00BF598F">
        <w:rPr>
          <w:rFonts w:cstheme="minorHAnsi"/>
        </w:rPr>
        <w:t xml:space="preserve">Topology adaptation will also handle error cases such as radio link failures. For wide-area IAB networks, </w:t>
      </w:r>
      <w:r w:rsidR="00DD019A">
        <w:rPr>
          <w:rFonts w:cstheme="minorHAnsi"/>
        </w:rPr>
        <w:t>efficient</w:t>
      </w:r>
      <w:r w:rsidRPr="00BF598F">
        <w:rPr>
          <w:rFonts w:cstheme="minorHAnsi"/>
        </w:rPr>
        <w:t xml:space="preserve"> and robust network planning and deployment should be considered as the primary mechanism to avoid</w:t>
      </w:r>
      <w:r w:rsidRPr="000E76BC">
        <w:rPr>
          <w:rFonts w:cstheme="minorHAnsi"/>
        </w:rPr>
        <w:t xml:space="preserve"> radio link failures. Thus, radio link failures are expected to be very rare events. It might not be the same situation for other types of IABs that are not under operator control or are deployed in an uncoordinated/unplanned manner. For such IAB-nodes, failure cases may be more common, and solutions could be customized exclusively for them.</w:t>
      </w:r>
      <w:r w:rsidRPr="000E76BC" w:rsidDel="002119CF">
        <w:rPr>
          <w:rFonts w:cstheme="minorHAnsi"/>
        </w:rPr>
        <w:t xml:space="preserve"> </w:t>
      </w:r>
      <w:r w:rsidRPr="000E76BC">
        <w:rPr>
          <w:rFonts w:cstheme="minorHAnsi"/>
        </w:rPr>
        <w:t xml:space="preserve">However, migration </w:t>
      </w:r>
      <w:proofErr w:type="gramStart"/>
      <w:r w:rsidRPr="000E76BC">
        <w:rPr>
          <w:rFonts w:cstheme="minorHAnsi"/>
        </w:rPr>
        <w:t>as a consequence of</w:t>
      </w:r>
      <w:proofErr w:type="gramEnd"/>
      <w:r w:rsidRPr="000E76BC">
        <w:rPr>
          <w:rFonts w:cstheme="minorHAnsi"/>
        </w:rPr>
        <w:t xml:space="preserve"> RLF may be subject to less signaling overhead at least over the air interface.</w:t>
      </w:r>
    </w:p>
    <w:p w14:paraId="30F5AC5F" w14:textId="0D83D5C8" w:rsidR="00CE0424" w:rsidRPr="00595976" w:rsidRDefault="005B0ACE" w:rsidP="00FE1E18">
      <w:pPr>
        <w:pStyle w:val="Observation"/>
        <w:jc w:val="both"/>
      </w:pPr>
      <w:bookmarkStart w:id="7" w:name="_Toc47731856"/>
      <w:r w:rsidRPr="00595976">
        <w:lastRenderedPageBreak/>
        <w:t>RAN2 may consider l</w:t>
      </w:r>
      <w:r w:rsidR="00F937F4" w:rsidRPr="00595976">
        <w:t xml:space="preserve">oad balancing of some of the traffic served by an IAB node, and radio link failures as the primary use cases of the </w:t>
      </w:r>
      <w:r w:rsidR="002B05FF" w:rsidRPr="00595976">
        <w:t>Rel-</w:t>
      </w:r>
      <w:r w:rsidR="00F937F4" w:rsidRPr="00595976">
        <w:t>17 inter-CU migration.</w:t>
      </w:r>
      <w:bookmarkEnd w:id="7"/>
    </w:p>
    <w:p w14:paraId="5BE28D08" w14:textId="2F6FD209" w:rsidR="00F63950" w:rsidRDefault="00F937F4" w:rsidP="003F1B41">
      <w:pPr>
        <w:pStyle w:val="Heading2"/>
        <w:jc w:val="both"/>
        <w:rPr>
          <w:lang w:val="en-US"/>
        </w:rPr>
      </w:pPr>
      <w:r>
        <w:rPr>
          <w:lang w:val="en-US"/>
        </w:rPr>
        <w:t>End-to-end performance</w:t>
      </w:r>
    </w:p>
    <w:p w14:paraId="3CB9B3C1" w14:textId="77777777" w:rsidR="00BD0959" w:rsidRPr="00BD0959" w:rsidRDefault="00BD0959" w:rsidP="00BD0959">
      <w:pPr>
        <w:pStyle w:val="BodyText"/>
        <w:jc w:val="both"/>
        <w:rPr>
          <w:rFonts w:cstheme="minorHAnsi"/>
        </w:rPr>
      </w:pPr>
      <w:r w:rsidRPr="00BD0959">
        <w:rPr>
          <w:rFonts w:cstheme="minorHAnsi"/>
        </w:rPr>
        <w:t>End-to-end performance is a broad topic and is tightly connected to topology adaptation. Topology adaptation should be, therefore, considered as one of the tools for providing better end-to-end performance. In addition, the WI lists the areas of scheduling enhancements and flow and congestion control mechanisms. During Rel-16, efforts were made to address the end-to-end performance. In this area, enhancement to reduce latency, adapt the traffic flow between hops more frequently, or handle failures were introduced e.g. a new BSR format, a hop-by-hop flow control, and redundancy by configuring multiple paths (DC-like). As for topology adaptation, scheduling and flow and congestion control are mechanisms that are part of the network proprietary algorithms. Thus, 3GPP should again focus on the useful hooks that could allow these mechanisms to operate more effectively.</w:t>
      </w:r>
    </w:p>
    <w:p w14:paraId="3B31C430" w14:textId="77777777" w:rsidR="00BD0959" w:rsidRPr="00BD0959" w:rsidRDefault="00BD0959" w:rsidP="00BD0959">
      <w:pPr>
        <w:pStyle w:val="BodyText"/>
        <w:jc w:val="both"/>
        <w:rPr>
          <w:rFonts w:cstheme="minorHAnsi"/>
        </w:rPr>
      </w:pPr>
      <w:proofErr w:type="gramStart"/>
      <w:r w:rsidRPr="00BD0959">
        <w:rPr>
          <w:rFonts w:cstheme="minorHAnsi"/>
        </w:rPr>
        <w:t>In particular, user</w:t>
      </w:r>
      <w:proofErr w:type="gramEnd"/>
      <w:r w:rsidRPr="00BD0959">
        <w:rPr>
          <w:rFonts w:cstheme="minorHAnsi"/>
        </w:rPr>
        <w:t xml:space="preserve"> plane performance might be affected by reconfigurations which might be needed in the new inter-CU migration scenario. Unlike the intra-CU handover scenario, the IAB nodes/UEs that are involved in the migration, i.e. that are, at least, directly served by migrating IAB node (which is migrating from one CU to another CU) must receive an RRC reconfiguration (e.g. </w:t>
      </w:r>
      <w:proofErr w:type="spellStart"/>
      <w:r w:rsidRPr="00DF0868">
        <w:rPr>
          <w:rFonts w:cstheme="minorHAnsi"/>
          <w:i/>
          <w:iCs/>
        </w:rPr>
        <w:t>reconfigurationWithSync</w:t>
      </w:r>
      <w:proofErr w:type="spellEnd"/>
      <w:r w:rsidRPr="00BD0959">
        <w:rPr>
          <w:rFonts w:cstheme="minorHAnsi"/>
        </w:rPr>
        <w:t>) message for changing the security keys as their context is relocated. Once the HO command, containing the reconfiguration, has been received and processed by an IAB node (i.e. IAB-MT) or UE, the security keys are changed, and the IAB-MT/UE will not be able to properly decrypt (or integrity verify if configured) any old packets that were encrypted with the old security keys unless a dual protocol stack is maintained for a period of time. The same holds for the keys used by the CU to decrypt the UL data.</w:t>
      </w:r>
    </w:p>
    <w:p w14:paraId="7F402D71" w14:textId="77777777" w:rsidR="00BD0959" w:rsidRPr="00BD0959" w:rsidRDefault="00BD0959" w:rsidP="00BD0959">
      <w:pPr>
        <w:pStyle w:val="BodyText"/>
        <w:jc w:val="both"/>
        <w:rPr>
          <w:rFonts w:cstheme="minorHAnsi"/>
        </w:rPr>
      </w:pPr>
      <w:r w:rsidRPr="00BD0959">
        <w:rPr>
          <w:rFonts w:cstheme="minorHAnsi"/>
        </w:rPr>
        <w:t>Therefore, based on the above, it is not clear how to handle in the source path the packets that have been already transmitted by the source donor-CU to the top-level IAB node (or to any other IAB node or UEs which are served directly or indirectly by such top-level IAB node) and that are currently traversing the source path but that are not received yet at the destination by the time the HO command is issued from the network. The same reasoning obviously applies to the UL packets.</w:t>
      </w:r>
    </w:p>
    <w:p w14:paraId="5C1C373E" w14:textId="5D33F66E" w:rsidR="00BD0959" w:rsidRPr="00595976" w:rsidRDefault="00BD0959" w:rsidP="00FE1E18">
      <w:pPr>
        <w:pStyle w:val="Observation"/>
        <w:jc w:val="both"/>
      </w:pPr>
      <w:bookmarkStart w:id="8" w:name="_Toc47731857"/>
      <w:r w:rsidRPr="00595976">
        <w:t>At inter-CU migration, the security keys for a migrating IAB node/UE are changed, and hence any old packet to/from such IAB node/UE might not be decrypted.</w:t>
      </w:r>
      <w:bookmarkEnd w:id="8"/>
    </w:p>
    <w:p w14:paraId="7C4788D6" w14:textId="6A96973B" w:rsidR="00BD0959" w:rsidRPr="00BD0959" w:rsidRDefault="00BD0959" w:rsidP="00BD0959">
      <w:pPr>
        <w:pStyle w:val="BodyText"/>
        <w:jc w:val="both"/>
        <w:rPr>
          <w:b/>
          <w:bCs/>
          <w:lang w:eastAsia="ja-JP"/>
        </w:rPr>
      </w:pPr>
      <w:r w:rsidRPr="00BD0959">
        <w:rPr>
          <w:rFonts w:cstheme="minorHAnsi"/>
        </w:rPr>
        <w:t>Hence, the problem might be twofold: first, such packets may never be correctly received by the intended device, and hence lead to packet losses (unless they are transmitted again from the target). Additionally, their transmission may have been in vain since the intended device cannot anyhow correctly receive them, which causes wastage of radio resources, as well as processing power at the UEs and IAB nodes.</w:t>
      </w:r>
    </w:p>
    <w:p w14:paraId="30BE6E61" w14:textId="04592B62" w:rsidR="00BD0959" w:rsidRPr="00595976" w:rsidRDefault="008029E0" w:rsidP="00FE1E18">
      <w:pPr>
        <w:pStyle w:val="Observation"/>
        <w:jc w:val="both"/>
      </w:pPr>
      <w:bookmarkStart w:id="9" w:name="_Toc47731858"/>
      <w:r w:rsidRPr="00595976">
        <w:t>RAN2</w:t>
      </w:r>
      <w:r w:rsidR="00D10698" w:rsidRPr="00595976">
        <w:t xml:space="preserve"> may discuss h</w:t>
      </w:r>
      <w:r w:rsidR="00BD0959" w:rsidRPr="00595976">
        <w:t>ow to avoid or limit packet losses and unnecessary transmissions at inter-CU migration.</w:t>
      </w:r>
      <w:bookmarkEnd w:id="9"/>
    </w:p>
    <w:p w14:paraId="358B7382" w14:textId="54E00220" w:rsidR="00F937F4" w:rsidRPr="00BD0959" w:rsidRDefault="00F937F4" w:rsidP="00BD0959">
      <w:pPr>
        <w:pStyle w:val="Heading2"/>
      </w:pPr>
      <w:r w:rsidRPr="00BD0959">
        <w:t>Spectral efficiency and latency</w:t>
      </w:r>
    </w:p>
    <w:p w14:paraId="41DB0B2B" w14:textId="59CFA8A5" w:rsidR="00F937F4" w:rsidRDefault="00F937F4" w:rsidP="003F1B41">
      <w:pPr>
        <w:pStyle w:val="BodyText"/>
        <w:jc w:val="both"/>
        <w:rPr>
          <w:rFonts w:cstheme="minorHAnsi"/>
        </w:rPr>
      </w:pPr>
      <w:r w:rsidRPr="00846488">
        <w:rPr>
          <w:rFonts w:cstheme="minorHAnsi"/>
        </w:rPr>
        <w:t xml:space="preserve">Spectral efficiency </w:t>
      </w:r>
      <w:r>
        <w:rPr>
          <w:rFonts w:cstheme="minorHAnsi"/>
        </w:rPr>
        <w:t xml:space="preserve">and latency </w:t>
      </w:r>
      <w:r w:rsidR="003405BF">
        <w:rPr>
          <w:rFonts w:cstheme="minorHAnsi"/>
        </w:rPr>
        <w:t>are</w:t>
      </w:r>
      <w:r w:rsidRPr="00846488">
        <w:rPr>
          <w:rFonts w:cstheme="minorHAnsi"/>
        </w:rPr>
        <w:t xml:space="preserve"> the </w:t>
      </w:r>
      <w:r>
        <w:rPr>
          <w:rFonts w:cstheme="minorHAnsi"/>
        </w:rPr>
        <w:t>RAN1-centric</w:t>
      </w:r>
      <w:r w:rsidRPr="00846488">
        <w:rPr>
          <w:rFonts w:cstheme="minorHAnsi"/>
        </w:rPr>
        <w:t xml:space="preserve"> area</w:t>
      </w:r>
      <w:r w:rsidR="003405BF">
        <w:rPr>
          <w:rFonts w:cstheme="minorHAnsi"/>
        </w:rPr>
        <w:t>s</w:t>
      </w:r>
      <w:r w:rsidRPr="00846488">
        <w:rPr>
          <w:rFonts w:cstheme="minorHAnsi"/>
        </w:rPr>
        <w:t xml:space="preserve"> in this WI. While, solutions addressing end-to-end performance may also enhance the spectral efficiency, the WI explicitly lists duplexing enhancements as a method to address spectral efficiency and reduce latencies. The WID explicitly mentions four alternatives for simultaneous operation: MT Tx/DU Tx, MT Tx/DU Rx, MT Rx/DU Tx, MT Rx/DU Rx. Two of the duplexing </w:t>
      </w:r>
      <w:r w:rsidR="00F42527" w:rsidRPr="00846488">
        <w:rPr>
          <w:rFonts w:cstheme="minorHAnsi"/>
        </w:rPr>
        <w:t>alternatives</w:t>
      </w:r>
      <w:r w:rsidRPr="00846488">
        <w:rPr>
          <w:rFonts w:cstheme="minorHAnsi"/>
        </w:rPr>
        <w:t xml:space="preserve"> can be </w:t>
      </w:r>
      <w:r w:rsidR="00056EE4">
        <w:rPr>
          <w:rFonts w:cstheme="minorHAnsi"/>
        </w:rPr>
        <w:t xml:space="preserve">categorized as </w:t>
      </w:r>
      <w:r w:rsidR="00056EE4" w:rsidRPr="00056EE4">
        <w:rPr>
          <w:rFonts w:cstheme="minorHAnsi"/>
          <w:i/>
          <w:iCs/>
        </w:rPr>
        <w:t>IAB half-duplex rece</w:t>
      </w:r>
      <w:r w:rsidR="00056EE4">
        <w:rPr>
          <w:rFonts w:cstheme="minorHAnsi"/>
          <w:i/>
          <w:iCs/>
        </w:rPr>
        <w:t>ption</w:t>
      </w:r>
      <w:r w:rsidR="00056EE4">
        <w:rPr>
          <w:rFonts w:cstheme="minorHAnsi"/>
        </w:rPr>
        <w:t xml:space="preserve"> and </w:t>
      </w:r>
      <w:r w:rsidR="00056EE4" w:rsidRPr="00056EE4">
        <w:rPr>
          <w:rFonts w:cstheme="minorHAnsi"/>
          <w:i/>
          <w:iCs/>
        </w:rPr>
        <w:t>IAB half-duplex transmission</w:t>
      </w:r>
      <w:r w:rsidR="001B25C5" w:rsidRPr="001B25C5">
        <w:rPr>
          <w:rFonts w:cstheme="minorHAnsi"/>
        </w:rPr>
        <w:t>, respectively,</w:t>
      </w:r>
      <w:r w:rsidRPr="00846488">
        <w:rPr>
          <w:rFonts w:cstheme="minorHAnsi"/>
        </w:rPr>
        <w:t xml:space="preserve"> </w:t>
      </w:r>
      <w:r w:rsidR="00AE25B2">
        <w:rPr>
          <w:rFonts w:cstheme="minorHAnsi"/>
        </w:rPr>
        <w:t>whereas</w:t>
      </w:r>
      <w:r w:rsidRPr="00846488">
        <w:rPr>
          <w:rFonts w:cstheme="minorHAnsi"/>
        </w:rPr>
        <w:t xml:space="preserve"> the remaining two can be identified as </w:t>
      </w:r>
      <w:r w:rsidRPr="001B25C5">
        <w:rPr>
          <w:rFonts w:cstheme="minorHAnsi"/>
          <w:i/>
          <w:iCs/>
        </w:rPr>
        <w:t xml:space="preserve">IAB </w:t>
      </w:r>
      <w:r w:rsidR="00056EE4" w:rsidRPr="001B25C5">
        <w:rPr>
          <w:rFonts w:cstheme="minorHAnsi"/>
          <w:i/>
          <w:iCs/>
        </w:rPr>
        <w:t>upstream f</w:t>
      </w:r>
      <w:r w:rsidRPr="001B25C5">
        <w:rPr>
          <w:rFonts w:cstheme="minorHAnsi"/>
          <w:i/>
          <w:iCs/>
        </w:rPr>
        <w:t>ull</w:t>
      </w:r>
      <w:r w:rsidR="00056EE4" w:rsidRPr="001B25C5">
        <w:rPr>
          <w:rFonts w:cstheme="minorHAnsi"/>
          <w:i/>
          <w:iCs/>
        </w:rPr>
        <w:t>-d</w:t>
      </w:r>
      <w:r w:rsidRPr="001B25C5">
        <w:rPr>
          <w:rFonts w:cstheme="minorHAnsi"/>
          <w:i/>
          <w:iCs/>
        </w:rPr>
        <w:t>uplex</w:t>
      </w:r>
      <w:r w:rsidR="00056EE4">
        <w:rPr>
          <w:rFonts w:cstheme="minorHAnsi"/>
        </w:rPr>
        <w:t xml:space="preserve"> and </w:t>
      </w:r>
      <w:r w:rsidR="00056EE4" w:rsidRPr="001B25C5">
        <w:rPr>
          <w:rFonts w:cstheme="minorHAnsi"/>
          <w:i/>
          <w:iCs/>
        </w:rPr>
        <w:t xml:space="preserve">IAB </w:t>
      </w:r>
      <w:r w:rsidR="001B25C5" w:rsidRPr="001B25C5">
        <w:rPr>
          <w:rFonts w:cstheme="minorHAnsi"/>
          <w:i/>
          <w:iCs/>
        </w:rPr>
        <w:t>downstream</w:t>
      </w:r>
      <w:r w:rsidR="001B25C5" w:rsidRPr="001B25C5">
        <w:rPr>
          <w:rFonts w:cstheme="minorHAnsi"/>
          <w:i/>
          <w:iCs/>
        </w:rPr>
        <w:t xml:space="preserve"> </w:t>
      </w:r>
      <w:r w:rsidR="00056EE4" w:rsidRPr="001B25C5">
        <w:rPr>
          <w:rFonts w:cstheme="minorHAnsi"/>
          <w:i/>
          <w:iCs/>
        </w:rPr>
        <w:t>full-duplex</w:t>
      </w:r>
      <w:r w:rsidR="00056EE4">
        <w:rPr>
          <w:rFonts w:cstheme="minorHAnsi"/>
        </w:rPr>
        <w:t>, respect</w:t>
      </w:r>
      <w:r w:rsidR="001B25C5">
        <w:rPr>
          <w:rFonts w:cstheme="minorHAnsi"/>
        </w:rPr>
        <w:t>ively</w:t>
      </w:r>
      <w:r w:rsidRPr="00846488">
        <w:rPr>
          <w:rFonts w:cstheme="minorHAnsi"/>
        </w:rPr>
        <w:t xml:space="preserve">. It is our view that RAN1 should prioritize the IAB </w:t>
      </w:r>
      <w:r w:rsidR="001B25C5">
        <w:rPr>
          <w:rFonts w:cstheme="minorHAnsi"/>
        </w:rPr>
        <w:t>half-duplex</w:t>
      </w:r>
      <w:r w:rsidRPr="00846488">
        <w:rPr>
          <w:rFonts w:cstheme="minorHAnsi"/>
        </w:rPr>
        <w:t xml:space="preserve"> cases before the IAB </w:t>
      </w:r>
      <w:r w:rsidR="001B25C5">
        <w:rPr>
          <w:rFonts w:cstheme="minorHAnsi"/>
        </w:rPr>
        <w:t>f</w:t>
      </w:r>
      <w:r w:rsidRPr="00846488">
        <w:rPr>
          <w:rFonts w:cstheme="minorHAnsi"/>
        </w:rPr>
        <w:t>ull</w:t>
      </w:r>
      <w:r w:rsidR="001B25C5">
        <w:rPr>
          <w:rFonts w:cstheme="minorHAnsi"/>
        </w:rPr>
        <w:t>-d</w:t>
      </w:r>
      <w:r w:rsidRPr="00846488">
        <w:rPr>
          <w:rFonts w:cstheme="minorHAnsi"/>
        </w:rPr>
        <w:t xml:space="preserve">uplex </w:t>
      </w:r>
      <w:r w:rsidRPr="00846488">
        <w:rPr>
          <w:rFonts w:cstheme="minorHAnsi"/>
        </w:rPr>
        <w:lastRenderedPageBreak/>
        <w:t>cases</w:t>
      </w:r>
      <w:r w:rsidR="001B25C5">
        <w:rPr>
          <w:rFonts w:cstheme="minorHAnsi"/>
        </w:rPr>
        <w:t xml:space="preserve"> </w:t>
      </w:r>
      <w:r w:rsidR="001B25C5">
        <w:rPr>
          <w:rFonts w:cstheme="minorHAnsi"/>
        </w:rPr>
        <w:fldChar w:fldCharType="begin"/>
      </w:r>
      <w:r w:rsidR="001B25C5">
        <w:rPr>
          <w:rFonts w:cstheme="minorHAnsi"/>
        </w:rPr>
        <w:instrText xml:space="preserve"> REF _Ref47694545 \r \h </w:instrText>
      </w:r>
      <w:r w:rsidR="001B25C5">
        <w:rPr>
          <w:rFonts w:cstheme="minorHAnsi"/>
        </w:rPr>
      </w:r>
      <w:r w:rsidR="001B25C5">
        <w:rPr>
          <w:rFonts w:cstheme="minorHAnsi"/>
        </w:rPr>
        <w:fldChar w:fldCharType="separate"/>
      </w:r>
      <w:r w:rsidR="00FE1E18">
        <w:rPr>
          <w:rFonts w:cstheme="minorHAnsi"/>
        </w:rPr>
        <w:t>[3]</w:t>
      </w:r>
      <w:r w:rsidR="001B25C5">
        <w:rPr>
          <w:rFonts w:cstheme="minorHAnsi"/>
        </w:rPr>
        <w:fldChar w:fldCharType="end"/>
      </w:r>
      <w:r w:rsidRPr="00846488">
        <w:rPr>
          <w:rFonts w:cstheme="minorHAnsi"/>
        </w:rPr>
        <w:t xml:space="preserve">. The reason for that is that IAB </w:t>
      </w:r>
      <w:proofErr w:type="gramStart"/>
      <w:r w:rsidR="001B25C5">
        <w:rPr>
          <w:rFonts w:cstheme="minorHAnsi"/>
        </w:rPr>
        <w:t>f</w:t>
      </w:r>
      <w:r w:rsidRPr="00846488">
        <w:rPr>
          <w:rFonts w:cstheme="minorHAnsi"/>
        </w:rPr>
        <w:t>ull</w:t>
      </w:r>
      <w:r w:rsidR="001B25C5">
        <w:rPr>
          <w:rFonts w:cstheme="minorHAnsi"/>
        </w:rPr>
        <w:t>-d</w:t>
      </w:r>
      <w:r w:rsidRPr="00846488">
        <w:rPr>
          <w:rFonts w:cstheme="minorHAnsi"/>
        </w:rPr>
        <w:t>uplex</w:t>
      </w:r>
      <w:proofErr w:type="gramEnd"/>
      <w:r w:rsidRPr="00846488">
        <w:rPr>
          <w:rFonts w:cstheme="minorHAnsi"/>
        </w:rPr>
        <w:t xml:space="preserve"> will require extensive </w:t>
      </w:r>
      <w:r w:rsidR="00FE027D">
        <w:rPr>
          <w:rFonts w:cstheme="minorHAnsi"/>
        </w:rPr>
        <w:t>signal power suppression</w:t>
      </w:r>
      <w:r w:rsidRPr="00846488">
        <w:rPr>
          <w:rFonts w:cstheme="minorHAnsi"/>
        </w:rPr>
        <w:t xml:space="preserve"> between Tx and Rx parts, implying an expensive redesign in RF front-end parts. Although the single antenna panel case is a more demanding use case, the above holds also if different antenna panels are used for the</w:t>
      </w:r>
      <w:r w:rsidR="003F1B41">
        <w:rPr>
          <w:rFonts w:cstheme="minorHAnsi"/>
        </w:rPr>
        <w:t xml:space="preserve"> </w:t>
      </w:r>
      <w:r w:rsidRPr="00846488">
        <w:rPr>
          <w:rFonts w:cstheme="minorHAnsi"/>
        </w:rPr>
        <w:t>Tx and Rx sides. Such redesig</w:t>
      </w:r>
      <w:r w:rsidR="00F42527">
        <w:rPr>
          <w:rFonts w:cstheme="minorHAnsi"/>
        </w:rPr>
        <w:t>n</w:t>
      </w:r>
      <w:r w:rsidRPr="00846488">
        <w:rPr>
          <w:rFonts w:cstheme="minorHAnsi"/>
        </w:rPr>
        <w:t xml:space="preserve"> will be difficult to motivate since it would be isolated to IAB nodes and would severely delay time-to market and possibly also risk the whole IAB business case.</w:t>
      </w:r>
    </w:p>
    <w:p w14:paraId="6F7EB36E" w14:textId="67BB9708" w:rsidR="003336A5" w:rsidRDefault="003336A5" w:rsidP="003F1B41">
      <w:pPr>
        <w:pStyle w:val="BodyText"/>
        <w:jc w:val="both"/>
        <w:rPr>
          <w:rFonts w:cstheme="minorHAnsi"/>
        </w:rPr>
      </w:pPr>
      <w:r>
        <w:rPr>
          <w:rFonts w:cstheme="minorHAnsi"/>
        </w:rPr>
        <w:t>Similarly, base stations are typically designed for a fixed transmit power</w:t>
      </w:r>
      <w:r w:rsidR="00F15CAF">
        <w:rPr>
          <w:rFonts w:cstheme="minorHAnsi"/>
        </w:rPr>
        <w:t xml:space="preserve"> using PAs whose linearity is carefully </w:t>
      </w:r>
      <w:r w:rsidR="00D2106C">
        <w:rPr>
          <w:rFonts w:cstheme="minorHAnsi"/>
        </w:rPr>
        <w:t>designed</w:t>
      </w:r>
      <w:r w:rsidR="00F15CAF">
        <w:rPr>
          <w:rFonts w:cstheme="minorHAnsi"/>
        </w:rPr>
        <w:t xml:space="preserve"> to </w:t>
      </w:r>
      <w:r w:rsidR="00D2106C">
        <w:rPr>
          <w:rFonts w:cstheme="minorHAnsi"/>
        </w:rPr>
        <w:t xml:space="preserve">present </w:t>
      </w:r>
      <w:r w:rsidR="00F15CAF">
        <w:rPr>
          <w:rFonts w:cstheme="minorHAnsi"/>
        </w:rPr>
        <w:t xml:space="preserve">system requirements. Adding extra linearity requirements in order to also allow for </w:t>
      </w:r>
      <w:r w:rsidR="00D2106C">
        <w:rPr>
          <w:rFonts w:cstheme="minorHAnsi"/>
        </w:rPr>
        <w:t xml:space="preserve">dynamic </w:t>
      </w:r>
      <w:r w:rsidR="00F15CAF">
        <w:rPr>
          <w:rFonts w:cstheme="minorHAnsi"/>
        </w:rPr>
        <w:t xml:space="preserve">power control is going to require </w:t>
      </w:r>
      <w:r w:rsidR="00D2106C">
        <w:rPr>
          <w:rFonts w:cstheme="minorHAnsi"/>
        </w:rPr>
        <w:t xml:space="preserve">extensive base station </w:t>
      </w:r>
      <w:r w:rsidR="00F15CAF">
        <w:rPr>
          <w:rFonts w:cstheme="minorHAnsi"/>
        </w:rPr>
        <w:t>redesign</w:t>
      </w:r>
      <w:r w:rsidR="00D2106C">
        <w:rPr>
          <w:rFonts w:cstheme="minorHAnsi"/>
        </w:rPr>
        <w:t xml:space="preserve"> and involve substantial extra costs </w:t>
      </w:r>
      <w:r w:rsidR="000E76BC">
        <w:rPr>
          <w:rFonts w:cstheme="minorHAnsi"/>
        </w:rPr>
        <w:t>delaying</w:t>
      </w:r>
      <w:r w:rsidR="00D2106C">
        <w:rPr>
          <w:rFonts w:cstheme="minorHAnsi"/>
        </w:rPr>
        <w:t xml:space="preserve"> </w:t>
      </w:r>
      <w:r w:rsidR="000E76BC">
        <w:rPr>
          <w:rFonts w:cstheme="minorHAnsi"/>
        </w:rPr>
        <w:t xml:space="preserve">time to market and making the </w:t>
      </w:r>
      <w:r w:rsidR="00D2106C">
        <w:rPr>
          <w:rFonts w:cstheme="minorHAnsi"/>
        </w:rPr>
        <w:t>IAB business case substantially less attractive.</w:t>
      </w:r>
      <w:r w:rsidR="00F71B55">
        <w:rPr>
          <w:rFonts w:cstheme="minorHAnsi"/>
        </w:rPr>
        <w:t xml:space="preserve"> Unless there </w:t>
      </w:r>
      <w:r w:rsidR="00092B95">
        <w:rPr>
          <w:rFonts w:cstheme="minorHAnsi"/>
        </w:rPr>
        <w:t>is</w:t>
      </w:r>
      <w:r w:rsidR="00F71B55">
        <w:rPr>
          <w:rFonts w:cstheme="minorHAnsi"/>
        </w:rPr>
        <w:t xml:space="preserve"> a substantial advantage, such redesign is not warranted. These two </w:t>
      </w:r>
      <w:r w:rsidR="00C04FF8">
        <w:rPr>
          <w:rFonts w:cstheme="minorHAnsi"/>
        </w:rPr>
        <w:t>design</w:t>
      </w:r>
      <w:r w:rsidR="00F71B55">
        <w:rPr>
          <w:rFonts w:cstheme="minorHAnsi"/>
        </w:rPr>
        <w:t xml:space="preserve"> aspects lead us to the following proposal:</w:t>
      </w:r>
    </w:p>
    <w:p w14:paraId="0B4856FA" w14:textId="592773B4" w:rsidR="00F937F4" w:rsidRPr="00595976" w:rsidRDefault="00F937F4" w:rsidP="00FE1E18">
      <w:pPr>
        <w:pStyle w:val="Proposal"/>
        <w:jc w:val="both"/>
      </w:pPr>
      <w:bookmarkStart w:id="10" w:name="_Toc47731859"/>
      <w:r w:rsidRPr="00595976">
        <w:t xml:space="preserve">RAN1 to </w:t>
      </w:r>
      <w:proofErr w:type="gramStart"/>
      <w:r w:rsidR="00005EF2" w:rsidRPr="00595976">
        <w:t>take into account</w:t>
      </w:r>
      <w:proofErr w:type="gramEnd"/>
      <w:r w:rsidRPr="00595976">
        <w:t xml:space="preserve"> </w:t>
      </w:r>
      <w:r w:rsidR="003336A5" w:rsidRPr="00595976">
        <w:t>existing base station design</w:t>
      </w:r>
      <w:r w:rsidRPr="00595976">
        <w:t xml:space="preserve"> </w:t>
      </w:r>
      <w:r w:rsidR="00C30683" w:rsidRPr="00595976">
        <w:t xml:space="preserve">principles </w:t>
      </w:r>
      <w:r w:rsidRPr="00595976">
        <w:t>in its Rel-17 specification work.</w:t>
      </w:r>
      <w:bookmarkEnd w:id="10"/>
    </w:p>
    <w:p w14:paraId="16CD31C5" w14:textId="276BFDFD" w:rsidR="00F937F4" w:rsidRPr="00B7643A" w:rsidRDefault="00F937F4" w:rsidP="003F1B41">
      <w:pPr>
        <w:jc w:val="both"/>
        <w:rPr>
          <w:rFonts w:cstheme="minorHAnsi"/>
        </w:rPr>
      </w:pPr>
      <w:r>
        <w:rPr>
          <w:rFonts w:cstheme="minorHAnsi"/>
        </w:rPr>
        <w:t>In order to successfully specify enhancements to resource multiplexing, extensions to the presently specified timing modes, DL/UL power control and CL</w:t>
      </w:r>
      <w:r w:rsidR="00516C7C">
        <w:rPr>
          <w:rFonts w:cstheme="minorHAnsi"/>
        </w:rPr>
        <w:t>I</w:t>
      </w:r>
      <w:r>
        <w:rPr>
          <w:rFonts w:cstheme="minorHAnsi"/>
        </w:rPr>
        <w:t xml:space="preserve"> as well as interference measurements may also be necessary. Here, RAN1 should be careful in identifying what belongs to the Rel-17 IAB WI and what may be more general specification changes that are beyond the scope of </w:t>
      </w:r>
      <w:r w:rsidR="00516C7C">
        <w:rPr>
          <w:rFonts w:cstheme="minorHAnsi"/>
        </w:rPr>
        <w:t>the Rel-17 WI</w:t>
      </w:r>
      <w:r>
        <w:rPr>
          <w:rFonts w:cstheme="minorHAnsi"/>
        </w:rPr>
        <w:t xml:space="preserve">. For example, unless properly designed, novel multiplexing </w:t>
      </w:r>
      <w:r w:rsidR="00516C7C">
        <w:rPr>
          <w:rFonts w:cstheme="minorHAnsi"/>
        </w:rPr>
        <w:t xml:space="preserve">scenarios </w:t>
      </w:r>
      <w:r>
        <w:rPr>
          <w:rFonts w:cstheme="minorHAnsi"/>
        </w:rPr>
        <w:t xml:space="preserve">may affect other nodes than IAB-nodes, </w:t>
      </w:r>
      <w:r w:rsidR="00D77970">
        <w:rPr>
          <w:rFonts w:cstheme="minorHAnsi"/>
        </w:rPr>
        <w:t xml:space="preserve">the consequences of </w:t>
      </w:r>
      <w:r>
        <w:rPr>
          <w:rFonts w:cstheme="minorHAnsi"/>
        </w:rPr>
        <w:t>which must be carefully considered in the future work.</w:t>
      </w:r>
      <w:r w:rsidR="009E5E0D">
        <w:rPr>
          <w:rFonts w:cstheme="minorHAnsi"/>
        </w:rPr>
        <w:t xml:space="preserve"> Another example is NR-DC for which intra-carrier NR-DC operation is not defined for the general case</w:t>
      </w:r>
      <w:r w:rsidR="00D77970">
        <w:rPr>
          <w:rFonts w:cstheme="minorHAnsi"/>
        </w:rPr>
        <w:t xml:space="preserve"> and for which reason it is </w:t>
      </w:r>
      <w:r w:rsidR="00367705">
        <w:rPr>
          <w:rFonts w:cstheme="minorHAnsi"/>
        </w:rPr>
        <w:t>questionable</w:t>
      </w:r>
      <w:r w:rsidR="00D77970">
        <w:rPr>
          <w:rFonts w:cstheme="minorHAnsi"/>
        </w:rPr>
        <w:t xml:space="preserve"> if it should be specified within the Rel-17 IAB WI.</w:t>
      </w:r>
    </w:p>
    <w:p w14:paraId="6FD95EC3" w14:textId="0206ED5E" w:rsidR="00F937F4" w:rsidRPr="00595976" w:rsidRDefault="00F937F4" w:rsidP="00FE1E18">
      <w:pPr>
        <w:pStyle w:val="Proposal"/>
        <w:jc w:val="both"/>
      </w:pPr>
      <w:bookmarkStart w:id="11" w:name="_Toc47731860"/>
      <w:r w:rsidRPr="00595976">
        <w:t xml:space="preserve">RAN1 should be careful not to introduce specification changes that may go beyond the scope of the Rel-17 IAB </w:t>
      </w:r>
      <w:r w:rsidR="00730B3A" w:rsidRPr="00595976">
        <w:t>WI</w:t>
      </w:r>
      <w:r w:rsidRPr="00595976">
        <w:t xml:space="preserve"> and affect also other network nodes.</w:t>
      </w:r>
      <w:bookmarkEnd w:id="11"/>
    </w:p>
    <w:p w14:paraId="01151DBA" w14:textId="77777777" w:rsidR="00C01F33" w:rsidRPr="00965597" w:rsidRDefault="00C01F33" w:rsidP="003F1B41">
      <w:pPr>
        <w:pStyle w:val="Heading1"/>
        <w:jc w:val="both"/>
        <w:rPr>
          <w:lang w:val="en-US"/>
        </w:rPr>
      </w:pPr>
      <w:r w:rsidRPr="00965597">
        <w:rPr>
          <w:lang w:val="en-US"/>
        </w:rPr>
        <w:t>Conclusion</w:t>
      </w:r>
    </w:p>
    <w:p w14:paraId="2222274A" w14:textId="77777777" w:rsidR="008E065E" w:rsidRPr="00965597" w:rsidRDefault="008E065E" w:rsidP="00E24438">
      <w:pPr>
        <w:pStyle w:val="BodyText"/>
        <w:jc w:val="both"/>
        <w:rPr>
          <w:b/>
          <w:bCs/>
        </w:rPr>
      </w:pPr>
      <w:r w:rsidRPr="00965597">
        <w:t xml:space="preserve">In </w:t>
      </w:r>
      <w:r w:rsidR="007729A2" w:rsidRPr="00965597">
        <w:t xml:space="preserve">the previous </w:t>
      </w:r>
      <w:r w:rsidRPr="00965597">
        <w:t>section</w:t>
      </w:r>
      <w:r w:rsidR="007729A2" w:rsidRPr="00965597">
        <w:t>s</w:t>
      </w:r>
      <w:r w:rsidRPr="00965597">
        <w:t xml:space="preserve"> we made the following observations:</w:t>
      </w:r>
      <w:r w:rsidR="00C93814" w:rsidRPr="00965597">
        <w:rPr>
          <w:b/>
          <w:bCs/>
        </w:rPr>
        <w:t xml:space="preserve"> </w:t>
      </w:r>
    </w:p>
    <w:p w14:paraId="429DF93E" w14:textId="77777777" w:rsidR="00FE1E18" w:rsidRDefault="006F6582" w:rsidP="00D41201">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47731853" w:history="1">
        <w:r w:rsidR="00FE1E18" w:rsidRPr="00F64A41">
          <w:rPr>
            <w:rStyle w:val="Hyperlink"/>
            <w:noProof/>
          </w:rPr>
          <w:t>Observation 1</w:t>
        </w:r>
        <w:r w:rsidR="00FE1E18">
          <w:rPr>
            <w:rFonts w:eastAsiaTheme="minorEastAsia"/>
            <w:b w:val="0"/>
            <w:noProof/>
            <w:lang w:val="sv-SE" w:eastAsia="sv-SE"/>
          </w:rPr>
          <w:tab/>
        </w:r>
        <w:r w:rsidR="00FE1E18" w:rsidRPr="00F64A41">
          <w:rPr>
            <w:rStyle w:val="Hyperlink"/>
            <w:noProof/>
          </w:rPr>
          <w:t>As opposed to mobility, inter-CU migration (i.e. topology adaptation) is not time critical.</w:t>
        </w:r>
      </w:hyperlink>
    </w:p>
    <w:p w14:paraId="416FA341" w14:textId="77777777" w:rsidR="00FE1E18" w:rsidRDefault="00FE1E18" w:rsidP="00D41201">
      <w:pPr>
        <w:pStyle w:val="TableofFigures"/>
        <w:tabs>
          <w:tab w:val="right" w:leader="dot" w:pos="9629"/>
        </w:tabs>
        <w:jc w:val="both"/>
        <w:rPr>
          <w:rFonts w:eastAsiaTheme="minorEastAsia"/>
          <w:b w:val="0"/>
          <w:noProof/>
          <w:lang w:val="sv-SE" w:eastAsia="sv-SE"/>
        </w:rPr>
      </w:pPr>
      <w:hyperlink w:anchor="_Toc47731854" w:history="1">
        <w:r w:rsidRPr="00F64A41">
          <w:rPr>
            <w:rStyle w:val="Hyperlink"/>
            <w:noProof/>
          </w:rPr>
          <w:t>Observation 2</w:t>
        </w:r>
        <w:r>
          <w:rPr>
            <w:rFonts w:eastAsiaTheme="minorEastAsia"/>
            <w:b w:val="0"/>
            <w:noProof/>
            <w:lang w:val="sv-SE" w:eastAsia="sv-SE"/>
          </w:rPr>
          <w:tab/>
        </w:r>
        <w:r w:rsidRPr="00F64A41">
          <w:rPr>
            <w:rStyle w:val="Hyperlink"/>
            <w:noProof/>
          </w:rPr>
          <w:t>For the top-level IAB node subject to load balancing, only a fraction of its traversing traffic will be moved via the new CU, meaning that this node will typically maintain the connection to the first CU.</w:t>
        </w:r>
      </w:hyperlink>
    </w:p>
    <w:p w14:paraId="72D6C562" w14:textId="77777777" w:rsidR="00FE1E18" w:rsidRDefault="00FE1E18" w:rsidP="00D41201">
      <w:pPr>
        <w:pStyle w:val="TableofFigures"/>
        <w:tabs>
          <w:tab w:val="right" w:leader="dot" w:pos="9629"/>
        </w:tabs>
        <w:jc w:val="both"/>
        <w:rPr>
          <w:rFonts w:eastAsiaTheme="minorEastAsia"/>
          <w:b w:val="0"/>
          <w:noProof/>
          <w:lang w:val="sv-SE" w:eastAsia="sv-SE"/>
        </w:rPr>
      </w:pPr>
      <w:hyperlink w:anchor="_Toc47731855" w:history="1">
        <w:r w:rsidRPr="00F64A41">
          <w:rPr>
            <w:rStyle w:val="Hyperlink"/>
            <w:noProof/>
          </w:rPr>
          <w:t>Observation 3</w:t>
        </w:r>
        <w:r>
          <w:rPr>
            <w:rFonts w:eastAsiaTheme="minorEastAsia"/>
            <w:b w:val="0"/>
            <w:noProof/>
            <w:lang w:val="sv-SE" w:eastAsia="sv-SE"/>
          </w:rPr>
          <w:tab/>
        </w:r>
        <w:r w:rsidRPr="00F64A41">
          <w:rPr>
            <w:rStyle w:val="Hyperlink"/>
            <w:noProof/>
          </w:rPr>
          <w:t>From a network design point of view, inter-CU migration solutions should not lead to massive simultaneous reconfigurations.</w:t>
        </w:r>
      </w:hyperlink>
    </w:p>
    <w:p w14:paraId="345F3976" w14:textId="77777777" w:rsidR="00FE1E18" w:rsidRDefault="00FE1E18" w:rsidP="00D41201">
      <w:pPr>
        <w:pStyle w:val="TableofFigures"/>
        <w:tabs>
          <w:tab w:val="right" w:leader="dot" w:pos="9629"/>
        </w:tabs>
        <w:jc w:val="both"/>
        <w:rPr>
          <w:rFonts w:eastAsiaTheme="minorEastAsia"/>
          <w:b w:val="0"/>
          <w:noProof/>
          <w:lang w:val="sv-SE" w:eastAsia="sv-SE"/>
        </w:rPr>
      </w:pPr>
      <w:hyperlink w:anchor="_Toc47731856" w:history="1">
        <w:r w:rsidRPr="00F64A41">
          <w:rPr>
            <w:rStyle w:val="Hyperlink"/>
            <w:noProof/>
          </w:rPr>
          <w:t>Observation 4</w:t>
        </w:r>
        <w:r>
          <w:rPr>
            <w:rFonts w:eastAsiaTheme="minorEastAsia"/>
            <w:b w:val="0"/>
            <w:noProof/>
            <w:lang w:val="sv-SE" w:eastAsia="sv-SE"/>
          </w:rPr>
          <w:tab/>
        </w:r>
        <w:r w:rsidRPr="00F64A41">
          <w:rPr>
            <w:rStyle w:val="Hyperlink"/>
            <w:noProof/>
          </w:rPr>
          <w:t>RAN2 may consider load balancing of some of the traffic served by an IAB node, and radio link failures as the primary use cases of the Rel-17 inter-CU migration.</w:t>
        </w:r>
      </w:hyperlink>
    </w:p>
    <w:p w14:paraId="442C3D42" w14:textId="77777777" w:rsidR="00FE1E18" w:rsidRDefault="00FE1E18" w:rsidP="00D41201">
      <w:pPr>
        <w:pStyle w:val="TableofFigures"/>
        <w:tabs>
          <w:tab w:val="right" w:leader="dot" w:pos="9629"/>
        </w:tabs>
        <w:jc w:val="both"/>
        <w:rPr>
          <w:rFonts w:eastAsiaTheme="minorEastAsia"/>
          <w:b w:val="0"/>
          <w:noProof/>
          <w:lang w:val="sv-SE" w:eastAsia="sv-SE"/>
        </w:rPr>
      </w:pPr>
      <w:hyperlink w:anchor="_Toc47731857" w:history="1">
        <w:r w:rsidRPr="00F64A41">
          <w:rPr>
            <w:rStyle w:val="Hyperlink"/>
            <w:noProof/>
          </w:rPr>
          <w:t>Observation 5</w:t>
        </w:r>
        <w:r>
          <w:rPr>
            <w:rFonts w:eastAsiaTheme="minorEastAsia"/>
            <w:b w:val="0"/>
            <w:noProof/>
            <w:lang w:val="sv-SE" w:eastAsia="sv-SE"/>
          </w:rPr>
          <w:tab/>
        </w:r>
        <w:r w:rsidRPr="00F64A41">
          <w:rPr>
            <w:rStyle w:val="Hyperlink"/>
            <w:noProof/>
          </w:rPr>
          <w:t>At inter-CU migration, the security keys for a migrating IAB node/UE are changed, and hence any old packet to/from such IAB node/UE might not be decrypted.</w:t>
        </w:r>
      </w:hyperlink>
    </w:p>
    <w:p w14:paraId="7036DB33" w14:textId="77777777" w:rsidR="00FE1E18" w:rsidRDefault="00FE1E18" w:rsidP="00D41201">
      <w:pPr>
        <w:pStyle w:val="TableofFigures"/>
        <w:tabs>
          <w:tab w:val="right" w:leader="dot" w:pos="9629"/>
        </w:tabs>
        <w:jc w:val="both"/>
        <w:rPr>
          <w:rFonts w:eastAsiaTheme="minorEastAsia"/>
          <w:b w:val="0"/>
          <w:noProof/>
          <w:lang w:val="sv-SE" w:eastAsia="sv-SE"/>
        </w:rPr>
      </w:pPr>
      <w:hyperlink w:anchor="_Toc47731858" w:history="1">
        <w:r w:rsidRPr="00F64A41">
          <w:rPr>
            <w:rStyle w:val="Hyperlink"/>
            <w:noProof/>
          </w:rPr>
          <w:t>Observation 6</w:t>
        </w:r>
        <w:r>
          <w:rPr>
            <w:rFonts w:eastAsiaTheme="minorEastAsia"/>
            <w:b w:val="0"/>
            <w:noProof/>
            <w:lang w:val="sv-SE" w:eastAsia="sv-SE"/>
          </w:rPr>
          <w:tab/>
        </w:r>
        <w:r w:rsidRPr="00F64A41">
          <w:rPr>
            <w:rStyle w:val="Hyperlink"/>
            <w:noProof/>
          </w:rPr>
          <w:t>RAN2 may discuss how to avoid or limit packet losses and unnecessary transmissions at inter-CU migration.</w:t>
        </w:r>
      </w:hyperlink>
    </w:p>
    <w:p w14:paraId="45156266" w14:textId="038425A6" w:rsidR="006E1C82" w:rsidRPr="00965597" w:rsidRDefault="006F6582" w:rsidP="00D41201">
      <w:pPr>
        <w:pStyle w:val="BodyText"/>
        <w:jc w:val="both"/>
      </w:pPr>
      <w:r w:rsidRPr="00965597">
        <w:fldChar w:fldCharType="end"/>
      </w:r>
    </w:p>
    <w:p w14:paraId="606CB80F" w14:textId="77777777" w:rsidR="006E1C82" w:rsidRPr="00965597" w:rsidRDefault="008E065E" w:rsidP="00D41201">
      <w:pPr>
        <w:pStyle w:val="BodyText"/>
        <w:jc w:val="both"/>
      </w:pPr>
      <w:r w:rsidRPr="00965597">
        <w:t xml:space="preserve">Based on the discussion in </w:t>
      </w:r>
      <w:r w:rsidR="007729A2" w:rsidRPr="00965597">
        <w:t xml:space="preserve">the previous </w:t>
      </w:r>
      <w:r w:rsidRPr="00965597">
        <w:t>section</w:t>
      </w:r>
      <w:r w:rsidR="007729A2" w:rsidRPr="00965597">
        <w:t>s</w:t>
      </w:r>
      <w:r w:rsidRPr="00965597">
        <w:t xml:space="preserve"> we propose the following:</w:t>
      </w:r>
    </w:p>
    <w:p w14:paraId="348E3ED5" w14:textId="77777777" w:rsidR="00FE1E18" w:rsidRDefault="006E1C82" w:rsidP="00D41201">
      <w:pPr>
        <w:pStyle w:val="TableofFigures"/>
        <w:tabs>
          <w:tab w:val="right" w:leader="dot" w:pos="9629"/>
        </w:tabs>
        <w:jc w:val="both"/>
        <w:rPr>
          <w:rFonts w:eastAsiaTheme="minorEastAsia"/>
          <w:b w:val="0"/>
          <w:noProof/>
          <w:lang w:val="sv-SE" w:eastAsia="sv-SE"/>
        </w:rPr>
      </w:pPr>
      <w:r w:rsidRPr="00965597">
        <w:rPr>
          <w:bCs/>
        </w:rPr>
        <w:lastRenderedPageBreak/>
        <w:fldChar w:fldCharType="begin"/>
      </w:r>
      <w:r w:rsidRPr="00965597">
        <w:rPr>
          <w:bCs/>
        </w:rPr>
        <w:instrText xml:space="preserve"> TOC \n \h \z \t "Proposal" \c </w:instrText>
      </w:r>
      <w:r w:rsidRPr="00965597">
        <w:rPr>
          <w:bCs/>
        </w:rPr>
        <w:fldChar w:fldCharType="separate"/>
      </w:r>
      <w:hyperlink w:anchor="_Toc47731859" w:history="1">
        <w:r w:rsidR="00FE1E18" w:rsidRPr="00883226">
          <w:rPr>
            <w:rStyle w:val="Hyperlink"/>
            <w:noProof/>
          </w:rPr>
          <w:t>Proposal 1</w:t>
        </w:r>
        <w:r w:rsidR="00FE1E18">
          <w:rPr>
            <w:rFonts w:eastAsiaTheme="minorEastAsia"/>
            <w:b w:val="0"/>
            <w:noProof/>
            <w:lang w:val="sv-SE" w:eastAsia="sv-SE"/>
          </w:rPr>
          <w:tab/>
        </w:r>
        <w:r w:rsidR="00FE1E18" w:rsidRPr="00883226">
          <w:rPr>
            <w:rStyle w:val="Hyperlink"/>
            <w:noProof/>
          </w:rPr>
          <w:t>RAN1 to take into account existing base station design principles in its Rel-17 specification work.</w:t>
        </w:r>
      </w:hyperlink>
    </w:p>
    <w:p w14:paraId="500D39FC" w14:textId="77777777" w:rsidR="00FE1E18" w:rsidRDefault="00FE1E18" w:rsidP="00D41201">
      <w:pPr>
        <w:pStyle w:val="TableofFigures"/>
        <w:tabs>
          <w:tab w:val="right" w:leader="dot" w:pos="9629"/>
        </w:tabs>
        <w:jc w:val="both"/>
        <w:rPr>
          <w:rFonts w:eastAsiaTheme="minorEastAsia"/>
          <w:b w:val="0"/>
          <w:noProof/>
          <w:lang w:val="sv-SE" w:eastAsia="sv-SE"/>
        </w:rPr>
      </w:pPr>
      <w:hyperlink w:anchor="_Toc47731860" w:history="1">
        <w:r w:rsidRPr="00883226">
          <w:rPr>
            <w:rStyle w:val="Hyperlink"/>
            <w:noProof/>
          </w:rPr>
          <w:t>Proposal 2</w:t>
        </w:r>
        <w:r>
          <w:rPr>
            <w:rFonts w:eastAsiaTheme="minorEastAsia"/>
            <w:b w:val="0"/>
            <w:noProof/>
            <w:lang w:val="sv-SE" w:eastAsia="sv-SE"/>
          </w:rPr>
          <w:tab/>
        </w:r>
        <w:r w:rsidRPr="00883226">
          <w:rPr>
            <w:rStyle w:val="Hyperlink"/>
            <w:noProof/>
          </w:rPr>
          <w:t>RAN1 should be careful not to introduce specification changes that may go beyond the scope of the Rel-17 IAB WI and affect also other network nodes.</w:t>
        </w:r>
      </w:hyperlink>
    </w:p>
    <w:p w14:paraId="0B564623" w14:textId="267652C3" w:rsidR="00C01F33" w:rsidRPr="00965597" w:rsidRDefault="006E1C82" w:rsidP="00D41201">
      <w:pPr>
        <w:pStyle w:val="BodyText"/>
        <w:jc w:val="both"/>
      </w:pPr>
      <w:r w:rsidRPr="00965597">
        <w:fldChar w:fldCharType="end"/>
      </w:r>
    </w:p>
    <w:p w14:paraId="07CD67B0" w14:textId="77777777" w:rsidR="00F507D1" w:rsidRPr="00965597" w:rsidRDefault="00F507D1" w:rsidP="003F1B41">
      <w:pPr>
        <w:pStyle w:val="Heading1"/>
        <w:numPr>
          <w:ilvl w:val="0"/>
          <w:numId w:val="0"/>
        </w:numPr>
        <w:jc w:val="both"/>
        <w:rPr>
          <w:lang w:val="en-US"/>
        </w:rPr>
      </w:pPr>
      <w:bookmarkStart w:id="12" w:name="_In-sequence_SDU_delivery"/>
      <w:bookmarkEnd w:id="12"/>
      <w:r w:rsidRPr="00965597">
        <w:rPr>
          <w:lang w:val="en-US"/>
        </w:rPr>
        <w:t>References</w:t>
      </w:r>
    </w:p>
    <w:bookmarkStart w:id="13" w:name="_Ref47522354"/>
    <w:bookmarkStart w:id="14" w:name="_Ref174151459"/>
    <w:bookmarkStart w:id="15" w:name="_Ref189809556"/>
    <w:p w14:paraId="6E0F7C8A" w14:textId="75AEE74C" w:rsidR="005F3025" w:rsidRPr="00C04FF8" w:rsidRDefault="00334486" w:rsidP="003F1B41">
      <w:pPr>
        <w:pStyle w:val="Reference"/>
        <w:jc w:val="both"/>
      </w:pPr>
      <w:r>
        <w:fldChar w:fldCharType="begin"/>
      </w:r>
      <w:r>
        <w:instrText xml:space="preserve"> HYPERLINK "https://www.3gpp.org/ftp/tsg_ran/TSG_RAN/TSGR_88e/Docs/RP-201293.zip" </w:instrText>
      </w:r>
      <w:r>
        <w:fldChar w:fldCharType="separate"/>
      </w:r>
      <w:r w:rsidRPr="00BF598F">
        <w:rPr>
          <w:rStyle w:val="Hyperlink"/>
        </w:rPr>
        <w:t>RP-201293</w:t>
      </w:r>
      <w:r>
        <w:fldChar w:fldCharType="end"/>
      </w:r>
      <w:r w:rsidRPr="00BF598F">
        <w:t xml:space="preserve">, </w:t>
      </w:r>
      <w:r w:rsidR="00D34909" w:rsidRPr="00C04FF8">
        <w:t>“Enhancements to Integrated Access and Backhaul for NR,” Qualcomm, RAN Plenary #88e</w:t>
      </w:r>
      <w:r w:rsidR="005F3025" w:rsidRPr="00C04FF8">
        <w:t xml:space="preserve">, </w:t>
      </w:r>
      <w:r w:rsidR="00D34909" w:rsidRPr="00C04FF8">
        <w:t>June 2020.</w:t>
      </w:r>
      <w:bookmarkEnd w:id="13"/>
    </w:p>
    <w:bookmarkStart w:id="16" w:name="_Ref47522365"/>
    <w:p w14:paraId="63299D69" w14:textId="4C67E507" w:rsidR="005F3025" w:rsidRDefault="00D34909" w:rsidP="003F1B41">
      <w:pPr>
        <w:pStyle w:val="Reference"/>
        <w:jc w:val="both"/>
      </w:pPr>
      <w:r>
        <w:fldChar w:fldCharType="begin"/>
      </w:r>
      <w:r>
        <w:instrText xml:space="preserve"> HYPERLINK "https://www.3gpp.org/ftp/tsg_ran/TSG_RAN/TSGR_87e/Docs/RP-200084.zip" </w:instrText>
      </w:r>
      <w:r>
        <w:fldChar w:fldCharType="separate"/>
      </w:r>
      <w:r w:rsidRPr="00BF598F">
        <w:rPr>
          <w:rStyle w:val="Hyperlink"/>
        </w:rPr>
        <w:t>RP-200084</w:t>
      </w:r>
      <w:r>
        <w:fldChar w:fldCharType="end"/>
      </w:r>
      <w:r w:rsidRPr="00BF598F">
        <w:t xml:space="preserve">, </w:t>
      </w:r>
      <w:r w:rsidRPr="00C04FF8">
        <w:t xml:space="preserve"> “Integrated access and backhaul for NR,” Qualcomm, RAN Plenary #87e, March 2020.</w:t>
      </w:r>
      <w:bookmarkEnd w:id="16"/>
    </w:p>
    <w:bookmarkStart w:id="17" w:name="_Ref47694545"/>
    <w:bookmarkStart w:id="18" w:name="_Ref47690414"/>
    <w:p w14:paraId="060C047E" w14:textId="3C1503DF" w:rsidR="006052F4" w:rsidRPr="006052F4" w:rsidRDefault="00F3169C" w:rsidP="003F1B41">
      <w:pPr>
        <w:pStyle w:val="Reference"/>
        <w:jc w:val="both"/>
      </w:pPr>
      <w:r>
        <w:fldChar w:fldCharType="begin"/>
      </w:r>
      <w:r>
        <w:instrText>HYPERLINK "https://www.3gpp.org/ftp/tsg_ran/WG1_RL1/TSGR1_102-e/Docs/R1-2006903.zip"</w:instrText>
      </w:r>
      <w:r>
        <w:fldChar w:fldCharType="separate"/>
      </w:r>
      <w:r w:rsidR="006052F4" w:rsidRPr="00F3169C">
        <w:rPr>
          <w:rStyle w:val="Hyperlink"/>
        </w:rPr>
        <w:t>R1-20</w:t>
      </w:r>
      <w:r w:rsidRPr="00F3169C">
        <w:rPr>
          <w:rStyle w:val="Hyperlink"/>
        </w:rPr>
        <w:t>06903</w:t>
      </w:r>
      <w:r>
        <w:fldChar w:fldCharType="end"/>
      </w:r>
      <w:r w:rsidR="006052F4" w:rsidRPr="00F3169C">
        <w:t xml:space="preserve">, </w:t>
      </w:r>
      <w:r w:rsidR="006052F4">
        <w:t>“IAB enhancements to resource multiplexing”, Ericsson, RAN1 #102-e, August 2020.</w:t>
      </w:r>
      <w:bookmarkEnd w:id="17"/>
    </w:p>
    <w:bookmarkStart w:id="19" w:name="_Ref47694551"/>
    <w:p w14:paraId="4E88B8E8" w14:textId="3ED3682F" w:rsidR="003A7EF3" w:rsidRPr="00C04FF8" w:rsidRDefault="00F3169C" w:rsidP="003F1B41">
      <w:pPr>
        <w:pStyle w:val="Reference"/>
        <w:jc w:val="both"/>
      </w:pPr>
      <w:r>
        <w:fldChar w:fldCharType="begin"/>
      </w:r>
      <w:r>
        <w:instrText>HYPERLINK "https://www.3gpp.org/ftp/tsg_ran/WG1_RL1/TSGR1_102-e/Docs/R1-2006904.zip"</w:instrText>
      </w:r>
      <w:r>
        <w:fldChar w:fldCharType="separate"/>
      </w:r>
      <w:r w:rsidR="006052F4" w:rsidRPr="00F3169C">
        <w:rPr>
          <w:rStyle w:val="Hyperlink"/>
        </w:rPr>
        <w:t>R1-20</w:t>
      </w:r>
      <w:r w:rsidRPr="00F3169C">
        <w:rPr>
          <w:rStyle w:val="Hyperlink"/>
        </w:rPr>
        <w:t>06904</w:t>
      </w:r>
      <w:r>
        <w:fldChar w:fldCharType="end"/>
      </w:r>
      <w:r w:rsidR="006052F4" w:rsidRPr="00F3169C">
        <w:t xml:space="preserve">, </w:t>
      </w:r>
      <w:r w:rsidR="006052F4">
        <w:t>“</w:t>
      </w:r>
      <w:r w:rsidR="006052F4" w:rsidRPr="00731B00">
        <w:t xml:space="preserve">Other enhancements for </w:t>
      </w:r>
      <w:r w:rsidR="006052F4" w:rsidRPr="006619C4">
        <w:t>simultaneous child and parent link operation</w:t>
      </w:r>
      <w:r w:rsidR="006052F4" w:rsidRPr="001E73BA">
        <w:t xml:space="preserve"> in IAB</w:t>
      </w:r>
      <w:r w:rsidR="006052F4">
        <w:t>”, Ericsson, RAN1 #102-e, August 2020</w:t>
      </w:r>
      <w:bookmarkEnd w:id="18"/>
      <w:r w:rsidR="006052F4">
        <w:t>.</w:t>
      </w:r>
      <w:bookmarkEnd w:id="19"/>
      <w:bookmarkEnd w:id="14"/>
      <w:bookmarkEnd w:id="15"/>
    </w:p>
    <w:sectPr w:rsidR="003A7EF3" w:rsidRPr="00C04FF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D775D" w14:textId="77777777" w:rsidR="00F937F4" w:rsidRDefault="00F937F4" w:rsidP="00A575AC">
      <w:r>
        <w:separator/>
      </w:r>
    </w:p>
    <w:p w14:paraId="57F91854" w14:textId="77777777" w:rsidR="00F937F4" w:rsidRDefault="00F937F4" w:rsidP="00A575AC"/>
  </w:endnote>
  <w:endnote w:type="continuationSeparator" w:id="0">
    <w:p w14:paraId="1E7FD77D" w14:textId="77777777" w:rsidR="00F937F4" w:rsidRDefault="00F937F4" w:rsidP="00A575AC">
      <w:r>
        <w:continuationSeparator/>
      </w:r>
    </w:p>
    <w:p w14:paraId="297A8BD6" w14:textId="77777777" w:rsidR="00F937F4" w:rsidRDefault="00F937F4" w:rsidP="00A575AC"/>
  </w:endnote>
  <w:endnote w:type="continuationNotice" w:id="1">
    <w:p w14:paraId="615B2843" w14:textId="77777777" w:rsidR="00735A03" w:rsidRDefault="00735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AF30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B3B4F" w14:textId="77777777" w:rsidR="00F937F4" w:rsidRDefault="00F937F4" w:rsidP="00A575AC">
      <w:r>
        <w:separator/>
      </w:r>
    </w:p>
    <w:p w14:paraId="2A4F08FD" w14:textId="77777777" w:rsidR="00F937F4" w:rsidRDefault="00F937F4" w:rsidP="00A575AC"/>
  </w:footnote>
  <w:footnote w:type="continuationSeparator" w:id="0">
    <w:p w14:paraId="0CDB2970" w14:textId="77777777" w:rsidR="00F937F4" w:rsidRDefault="00F937F4" w:rsidP="00A575AC">
      <w:r>
        <w:continuationSeparator/>
      </w:r>
    </w:p>
    <w:p w14:paraId="4ED158B2" w14:textId="77777777" w:rsidR="00F937F4" w:rsidRDefault="00F937F4" w:rsidP="00A575AC"/>
  </w:footnote>
  <w:footnote w:type="continuationNotice" w:id="1">
    <w:p w14:paraId="70371B34" w14:textId="77777777" w:rsidR="00735A03" w:rsidRDefault="00735A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B426A" w14:textId="77777777" w:rsidR="00C744FE" w:rsidRDefault="00C744FE"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6648C4A"/>
    <w:lvl w:ilvl="0" w:tplc="91B8E286">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2"/>
  </w:num>
  <w:num w:numId="24">
    <w:abstractNumId w:val="23"/>
  </w:num>
  <w:num w:numId="25">
    <w:abstractNumId w:val="14"/>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7F4"/>
    <w:rsid w:val="000006E1"/>
    <w:rsid w:val="00002A37"/>
    <w:rsid w:val="0000564C"/>
    <w:rsid w:val="00005EF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EE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B95"/>
    <w:rsid w:val="00093474"/>
    <w:rsid w:val="0009510F"/>
    <w:rsid w:val="000A1B7B"/>
    <w:rsid w:val="000A5643"/>
    <w:rsid w:val="000A56F2"/>
    <w:rsid w:val="000B2719"/>
    <w:rsid w:val="000B3A8F"/>
    <w:rsid w:val="000B4AB9"/>
    <w:rsid w:val="000B58C3"/>
    <w:rsid w:val="000B61E9"/>
    <w:rsid w:val="000C165A"/>
    <w:rsid w:val="000C2E19"/>
    <w:rsid w:val="000D0D07"/>
    <w:rsid w:val="000D3AC4"/>
    <w:rsid w:val="000D4797"/>
    <w:rsid w:val="000E0527"/>
    <w:rsid w:val="000E1E92"/>
    <w:rsid w:val="000E76B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348"/>
    <w:rsid w:val="00151E23"/>
    <w:rsid w:val="001523DF"/>
    <w:rsid w:val="001526E0"/>
    <w:rsid w:val="001551B5"/>
    <w:rsid w:val="001659C1"/>
    <w:rsid w:val="00173A8E"/>
    <w:rsid w:val="0017502C"/>
    <w:rsid w:val="0018143F"/>
    <w:rsid w:val="00181FF8"/>
    <w:rsid w:val="00190AC1"/>
    <w:rsid w:val="0019341A"/>
    <w:rsid w:val="0019535D"/>
    <w:rsid w:val="00197DF9"/>
    <w:rsid w:val="001A0895"/>
    <w:rsid w:val="001A1987"/>
    <w:rsid w:val="001A2564"/>
    <w:rsid w:val="001A6173"/>
    <w:rsid w:val="001A6CBA"/>
    <w:rsid w:val="001B0D97"/>
    <w:rsid w:val="001B25C5"/>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D1D"/>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2EB7"/>
    <w:rsid w:val="00296227"/>
    <w:rsid w:val="00296F44"/>
    <w:rsid w:val="0029777D"/>
    <w:rsid w:val="002A055E"/>
    <w:rsid w:val="002A1D4E"/>
    <w:rsid w:val="002A2869"/>
    <w:rsid w:val="002B05F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6A5"/>
    <w:rsid w:val="00334486"/>
    <w:rsid w:val="00334579"/>
    <w:rsid w:val="00335858"/>
    <w:rsid w:val="00336BDA"/>
    <w:rsid w:val="003405BF"/>
    <w:rsid w:val="00342BD7"/>
    <w:rsid w:val="00346DB5"/>
    <w:rsid w:val="003477B1"/>
    <w:rsid w:val="00357380"/>
    <w:rsid w:val="003602D9"/>
    <w:rsid w:val="003604CE"/>
    <w:rsid w:val="00367705"/>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224"/>
    <w:rsid w:val="003B64BB"/>
    <w:rsid w:val="003B7FE5"/>
    <w:rsid w:val="003C11C8"/>
    <w:rsid w:val="003C2702"/>
    <w:rsid w:val="003C7806"/>
    <w:rsid w:val="003D109F"/>
    <w:rsid w:val="003D2478"/>
    <w:rsid w:val="003D3C45"/>
    <w:rsid w:val="003D5B1F"/>
    <w:rsid w:val="003E15FA"/>
    <w:rsid w:val="003E55E4"/>
    <w:rsid w:val="003E74E3"/>
    <w:rsid w:val="003F05C7"/>
    <w:rsid w:val="003F1B41"/>
    <w:rsid w:val="003F2CD4"/>
    <w:rsid w:val="003F6BBE"/>
    <w:rsid w:val="004000E8"/>
    <w:rsid w:val="004006A1"/>
    <w:rsid w:val="00402E2B"/>
    <w:rsid w:val="0040512B"/>
    <w:rsid w:val="00405CA5"/>
    <w:rsid w:val="00407CD3"/>
    <w:rsid w:val="00410134"/>
    <w:rsid w:val="00410B72"/>
    <w:rsid w:val="00410F18"/>
    <w:rsid w:val="0041263E"/>
    <w:rsid w:val="00413AAC"/>
    <w:rsid w:val="00413E92"/>
    <w:rsid w:val="004166C5"/>
    <w:rsid w:val="00421105"/>
    <w:rsid w:val="00422AA4"/>
    <w:rsid w:val="004242F4"/>
    <w:rsid w:val="00427248"/>
    <w:rsid w:val="00437447"/>
    <w:rsid w:val="00441A92"/>
    <w:rsid w:val="004431DC"/>
    <w:rsid w:val="00444F56"/>
    <w:rsid w:val="00446488"/>
    <w:rsid w:val="004517AA"/>
    <w:rsid w:val="00452CAC"/>
    <w:rsid w:val="00452D7B"/>
    <w:rsid w:val="00457565"/>
    <w:rsid w:val="00457B71"/>
    <w:rsid w:val="004669E2"/>
    <w:rsid w:val="00470C31"/>
    <w:rsid w:val="00471DE0"/>
    <w:rsid w:val="004734D0"/>
    <w:rsid w:val="0047556B"/>
    <w:rsid w:val="00477768"/>
    <w:rsid w:val="00483009"/>
    <w:rsid w:val="00491451"/>
    <w:rsid w:val="00492BC5"/>
    <w:rsid w:val="004964F1"/>
    <w:rsid w:val="004A16BC"/>
    <w:rsid w:val="004A2B94"/>
    <w:rsid w:val="004B6F6A"/>
    <w:rsid w:val="004B7C0C"/>
    <w:rsid w:val="004C3898"/>
    <w:rsid w:val="004C5FD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C7C"/>
    <w:rsid w:val="005219CF"/>
    <w:rsid w:val="00522D9B"/>
    <w:rsid w:val="00534B59"/>
    <w:rsid w:val="00536759"/>
    <w:rsid w:val="00537C62"/>
    <w:rsid w:val="00546970"/>
    <w:rsid w:val="00554E19"/>
    <w:rsid w:val="0056121F"/>
    <w:rsid w:val="00572505"/>
    <w:rsid w:val="00582809"/>
    <w:rsid w:val="0058798C"/>
    <w:rsid w:val="005900FA"/>
    <w:rsid w:val="0059032B"/>
    <w:rsid w:val="005935A4"/>
    <w:rsid w:val="005948C2"/>
    <w:rsid w:val="00595976"/>
    <w:rsid w:val="00595DCA"/>
    <w:rsid w:val="0059779B"/>
    <w:rsid w:val="005A209A"/>
    <w:rsid w:val="005A605A"/>
    <w:rsid w:val="005A662D"/>
    <w:rsid w:val="005B0ACE"/>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2F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DF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B3A"/>
    <w:rsid w:val="007348B1"/>
    <w:rsid w:val="00735A03"/>
    <w:rsid w:val="007362A6"/>
    <w:rsid w:val="00736D7D"/>
    <w:rsid w:val="0073754A"/>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1D2B"/>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9E0"/>
    <w:rsid w:val="00803FAE"/>
    <w:rsid w:val="0080605F"/>
    <w:rsid w:val="00807786"/>
    <w:rsid w:val="00811FCB"/>
    <w:rsid w:val="008158D6"/>
    <w:rsid w:val="00816B91"/>
    <w:rsid w:val="00817196"/>
    <w:rsid w:val="008235DB"/>
    <w:rsid w:val="00824AB4"/>
    <w:rsid w:val="00825C42"/>
    <w:rsid w:val="00825D25"/>
    <w:rsid w:val="00827D6F"/>
    <w:rsid w:val="008376AC"/>
    <w:rsid w:val="008444E8"/>
    <w:rsid w:val="00844A0C"/>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E0D"/>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5B2"/>
    <w:rsid w:val="00AE27AC"/>
    <w:rsid w:val="00AE40E0"/>
    <w:rsid w:val="00AE4DBA"/>
    <w:rsid w:val="00AE4F07"/>
    <w:rsid w:val="00AF1C5D"/>
    <w:rsid w:val="00AF42D7"/>
    <w:rsid w:val="00AF663B"/>
    <w:rsid w:val="00AF6F62"/>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5D1C"/>
    <w:rsid w:val="00B46175"/>
    <w:rsid w:val="00B548B7"/>
    <w:rsid w:val="00B60BD6"/>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959"/>
    <w:rsid w:val="00BD48AC"/>
    <w:rsid w:val="00BD5F1A"/>
    <w:rsid w:val="00BE1234"/>
    <w:rsid w:val="00BE2FA6"/>
    <w:rsid w:val="00BE333F"/>
    <w:rsid w:val="00BE7406"/>
    <w:rsid w:val="00BE7603"/>
    <w:rsid w:val="00BF3279"/>
    <w:rsid w:val="00BF598F"/>
    <w:rsid w:val="00BF74C7"/>
    <w:rsid w:val="00C015F1"/>
    <w:rsid w:val="00C01F33"/>
    <w:rsid w:val="00C02CC6"/>
    <w:rsid w:val="00C040F7"/>
    <w:rsid w:val="00C044AB"/>
    <w:rsid w:val="00C04FF8"/>
    <w:rsid w:val="00C05706"/>
    <w:rsid w:val="00C07377"/>
    <w:rsid w:val="00C10478"/>
    <w:rsid w:val="00C12107"/>
    <w:rsid w:val="00C14D4B"/>
    <w:rsid w:val="00C154BB"/>
    <w:rsid w:val="00C15B5D"/>
    <w:rsid w:val="00C279B5"/>
    <w:rsid w:val="00C27C45"/>
    <w:rsid w:val="00C30683"/>
    <w:rsid w:val="00C3719D"/>
    <w:rsid w:val="00C37CB2"/>
    <w:rsid w:val="00C473A5"/>
    <w:rsid w:val="00C54995"/>
    <w:rsid w:val="00C54D41"/>
    <w:rsid w:val="00C60783"/>
    <w:rsid w:val="00C62F2F"/>
    <w:rsid w:val="00C64672"/>
    <w:rsid w:val="00C70697"/>
    <w:rsid w:val="00C72093"/>
    <w:rsid w:val="00C72EF4"/>
    <w:rsid w:val="00C744FE"/>
    <w:rsid w:val="00C75D2F"/>
    <w:rsid w:val="00C767BE"/>
    <w:rsid w:val="00C76E3C"/>
    <w:rsid w:val="00C81568"/>
    <w:rsid w:val="00C81C42"/>
    <w:rsid w:val="00C9027A"/>
    <w:rsid w:val="00C9068E"/>
    <w:rsid w:val="00C93814"/>
    <w:rsid w:val="00C93C4B"/>
    <w:rsid w:val="00C944AB"/>
    <w:rsid w:val="00C95B40"/>
    <w:rsid w:val="00CA1805"/>
    <w:rsid w:val="00CA1ED8"/>
    <w:rsid w:val="00CB1F63"/>
    <w:rsid w:val="00CB7170"/>
    <w:rsid w:val="00CC03D0"/>
    <w:rsid w:val="00CC040E"/>
    <w:rsid w:val="00CC111F"/>
    <w:rsid w:val="00CC2011"/>
    <w:rsid w:val="00CC3EA0"/>
    <w:rsid w:val="00CC7B45"/>
    <w:rsid w:val="00CD1188"/>
    <w:rsid w:val="00CD2ED1"/>
    <w:rsid w:val="00CD337B"/>
    <w:rsid w:val="00CD7957"/>
    <w:rsid w:val="00CE0424"/>
    <w:rsid w:val="00CE7561"/>
    <w:rsid w:val="00CF1354"/>
    <w:rsid w:val="00CF3B1F"/>
    <w:rsid w:val="00CF3BF6"/>
    <w:rsid w:val="00CF625B"/>
    <w:rsid w:val="00CF687E"/>
    <w:rsid w:val="00D0349B"/>
    <w:rsid w:val="00D10249"/>
    <w:rsid w:val="00D10698"/>
    <w:rsid w:val="00D115C3"/>
    <w:rsid w:val="00D11897"/>
    <w:rsid w:val="00D13135"/>
    <w:rsid w:val="00D13368"/>
    <w:rsid w:val="00D13E4E"/>
    <w:rsid w:val="00D2106C"/>
    <w:rsid w:val="00D239A7"/>
    <w:rsid w:val="00D23D0E"/>
    <w:rsid w:val="00D23F47"/>
    <w:rsid w:val="00D34909"/>
    <w:rsid w:val="00D36E71"/>
    <w:rsid w:val="00D37D87"/>
    <w:rsid w:val="00D40B33"/>
    <w:rsid w:val="00D41201"/>
    <w:rsid w:val="00D4318F"/>
    <w:rsid w:val="00D438BF"/>
    <w:rsid w:val="00D440F8"/>
    <w:rsid w:val="00D546FF"/>
    <w:rsid w:val="00D55AD5"/>
    <w:rsid w:val="00D576CA"/>
    <w:rsid w:val="00D61AF5"/>
    <w:rsid w:val="00D652B5"/>
    <w:rsid w:val="00D66155"/>
    <w:rsid w:val="00D708B0"/>
    <w:rsid w:val="00D77970"/>
    <w:rsid w:val="00D77B1D"/>
    <w:rsid w:val="00D8021F"/>
    <w:rsid w:val="00D80383"/>
    <w:rsid w:val="00D823C6"/>
    <w:rsid w:val="00D8327F"/>
    <w:rsid w:val="00D86CA3"/>
    <w:rsid w:val="00D871CE"/>
    <w:rsid w:val="00D9196D"/>
    <w:rsid w:val="00D92493"/>
    <w:rsid w:val="00D9280D"/>
    <w:rsid w:val="00D92982"/>
    <w:rsid w:val="00DA305E"/>
    <w:rsid w:val="00DA5417"/>
    <w:rsid w:val="00DA56E8"/>
    <w:rsid w:val="00DB01FB"/>
    <w:rsid w:val="00DB0A9F"/>
    <w:rsid w:val="00DB0D4A"/>
    <w:rsid w:val="00DB377D"/>
    <w:rsid w:val="00DB5941"/>
    <w:rsid w:val="00DC2D36"/>
    <w:rsid w:val="00DC53EF"/>
    <w:rsid w:val="00DD019A"/>
    <w:rsid w:val="00DE5608"/>
    <w:rsid w:val="00DE58D0"/>
    <w:rsid w:val="00DE654F"/>
    <w:rsid w:val="00DF0868"/>
    <w:rsid w:val="00DF0B6E"/>
    <w:rsid w:val="00DF15E0"/>
    <w:rsid w:val="00DF37A0"/>
    <w:rsid w:val="00E110E7"/>
    <w:rsid w:val="00E11B20"/>
    <w:rsid w:val="00E17FA2"/>
    <w:rsid w:val="00E22330"/>
    <w:rsid w:val="00E24438"/>
    <w:rsid w:val="00E27805"/>
    <w:rsid w:val="00E3008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382"/>
    <w:rsid w:val="00E57565"/>
    <w:rsid w:val="00E63838"/>
    <w:rsid w:val="00E64434"/>
    <w:rsid w:val="00E67C51"/>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0878"/>
    <w:rsid w:val="00EC0FE9"/>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CAF"/>
    <w:rsid w:val="00F15FA5"/>
    <w:rsid w:val="00F209B7"/>
    <w:rsid w:val="00F2376F"/>
    <w:rsid w:val="00F243D8"/>
    <w:rsid w:val="00F30828"/>
    <w:rsid w:val="00F313D6"/>
    <w:rsid w:val="00F3169C"/>
    <w:rsid w:val="00F40F0C"/>
    <w:rsid w:val="00F42527"/>
    <w:rsid w:val="00F45FD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B55"/>
    <w:rsid w:val="00F71F69"/>
    <w:rsid w:val="00F72B72"/>
    <w:rsid w:val="00F74BB9"/>
    <w:rsid w:val="00F75582"/>
    <w:rsid w:val="00F76EFA"/>
    <w:rsid w:val="00F804BE"/>
    <w:rsid w:val="00F817CE"/>
    <w:rsid w:val="00F8456C"/>
    <w:rsid w:val="00F859D8"/>
    <w:rsid w:val="00F868F5"/>
    <w:rsid w:val="00F9056A"/>
    <w:rsid w:val="00F90F8D"/>
    <w:rsid w:val="00F92782"/>
    <w:rsid w:val="00F937F4"/>
    <w:rsid w:val="00F93AA9"/>
    <w:rsid w:val="00F96985"/>
    <w:rsid w:val="00F97838"/>
    <w:rsid w:val="00FA2BB3"/>
    <w:rsid w:val="00FB4C80"/>
    <w:rsid w:val="00FB6A6A"/>
    <w:rsid w:val="00FC7429"/>
    <w:rsid w:val="00FD07F6"/>
    <w:rsid w:val="00FD1EC8"/>
    <w:rsid w:val="00FD47ED"/>
    <w:rsid w:val="00FD74DB"/>
    <w:rsid w:val="00FD7660"/>
    <w:rsid w:val="00FE027D"/>
    <w:rsid w:val="00FE0655"/>
    <w:rsid w:val="00FE1E18"/>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7C2D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69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F316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69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en-US"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HAnsi" w:hAnsiTheme="minorHAnsi"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paragraph" w:customStyle="1" w:styleId="maintext">
    <w:name w:val="main text"/>
    <w:basedOn w:val="Normal"/>
    <w:link w:val="maintextChar"/>
    <w:qFormat/>
    <w:rsid w:val="00F937F4"/>
    <w:pPr>
      <w:spacing w:before="60"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F937F4"/>
    <w:rPr>
      <w:rFonts w:ascii="Times New Roman" w:eastAsia="Malgun Gothic" w:hAnsi="Times New Roman" w:cs="Batang"/>
      <w:sz w:val="22"/>
      <w:szCs w:val="22"/>
      <w:lang w:eastAsia="ko-KR"/>
    </w:rPr>
  </w:style>
  <w:style w:type="character" w:styleId="UnresolvedMention">
    <w:name w:val="Unresolved Mention"/>
    <w:basedOn w:val="DefaultParagraphFont"/>
    <w:uiPriority w:val="99"/>
    <w:semiHidden/>
    <w:unhideWhenUsed/>
    <w:rsid w:val="00334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C4AD5-C299-4B32-96D6-A572A2702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02713-B600-48CF-A5F3-1E18800A52F3}">
  <ds:schemaRefs>
    <ds:schemaRef ds:uri="http://schemas.microsoft.com/sharepoint/v3/contenttype/forms"/>
  </ds:schemaRefs>
</ds:datastoreItem>
</file>

<file path=customXml/itemProps3.xml><?xml version="1.0" encoding="utf-8"?>
<ds:datastoreItem xmlns:ds="http://schemas.openxmlformats.org/officeDocument/2006/customXml" ds:itemID="{43C2720A-2049-45EF-8328-467DD5A197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A3A41D-9242-4BCE-8D2A-F2D3CF3E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2227</Words>
  <Characters>11807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2020-08-07T21:10:00Z</dcterms:created>
  <dcterms:modified xsi:type="dcterms:W3CDTF">2020-08-07T21:10:00Z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